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FF3AB">
      <w:pPr>
        <w:keepNext w:val="0"/>
        <w:keepLines w:val="0"/>
        <w:pageBreakBefore w:val="0"/>
        <w:widowControl w:val="0"/>
        <w:kinsoku/>
        <w:wordWrap/>
        <w:overflowPunct/>
        <w:topLinePunct w:val="0"/>
        <w:autoSpaceDE/>
        <w:autoSpaceDN/>
        <w:bidi w:val="0"/>
        <w:adjustRightInd/>
        <w:snapToGrid/>
        <w:spacing w:line="336" w:lineRule="auto"/>
        <w:jc w:val="center"/>
        <w:textAlignment w:val="baseline"/>
        <w:rPr>
          <w:rStyle w:val="13"/>
          <w:rFonts w:hint="eastAsia" w:ascii="仿宋" w:hAnsi="仿宋" w:eastAsia="仿宋" w:cs="仿宋"/>
          <w:b/>
          <w:bCs/>
          <w:sz w:val="44"/>
          <w:szCs w:val="44"/>
        </w:rPr>
      </w:pPr>
      <w:bookmarkStart w:id="0" w:name="_Toc9937"/>
      <w:r>
        <w:rPr>
          <w:rStyle w:val="13"/>
          <w:rFonts w:hint="eastAsia" w:ascii="仿宋" w:hAnsi="仿宋" w:eastAsia="仿宋" w:cs="仿宋"/>
          <w:b/>
          <w:bCs/>
          <w:sz w:val="44"/>
          <w:szCs w:val="44"/>
        </w:rPr>
        <w:t>辽宁师范大学本科生</w:t>
      </w:r>
      <w:bookmarkEnd w:id="0"/>
      <w:bookmarkStart w:id="1" w:name="_Toc14918"/>
      <w:r>
        <w:rPr>
          <w:rStyle w:val="13"/>
          <w:rFonts w:hint="eastAsia" w:ascii="仿宋" w:hAnsi="仿宋" w:eastAsia="仿宋" w:cs="仿宋"/>
          <w:b/>
          <w:bCs/>
          <w:sz w:val="44"/>
          <w:szCs w:val="44"/>
        </w:rPr>
        <w:t>创新创业学分认定</w:t>
      </w:r>
    </w:p>
    <w:p w14:paraId="02523302">
      <w:pPr>
        <w:keepNext w:val="0"/>
        <w:keepLines w:val="0"/>
        <w:pageBreakBefore w:val="0"/>
        <w:widowControl w:val="0"/>
        <w:kinsoku/>
        <w:wordWrap/>
        <w:overflowPunct/>
        <w:topLinePunct w:val="0"/>
        <w:autoSpaceDE/>
        <w:autoSpaceDN/>
        <w:bidi w:val="0"/>
        <w:adjustRightInd/>
        <w:snapToGrid/>
        <w:spacing w:line="336" w:lineRule="auto"/>
        <w:jc w:val="center"/>
        <w:textAlignment w:val="baseline"/>
        <w:rPr>
          <w:rFonts w:hint="eastAsia" w:ascii="仿宋" w:hAnsi="仿宋" w:eastAsia="仿宋" w:cs="仿宋"/>
          <w:lang w:val="en-US"/>
        </w:rPr>
      </w:pPr>
      <w:r>
        <w:rPr>
          <w:rStyle w:val="13"/>
          <w:rFonts w:hint="eastAsia" w:ascii="仿宋" w:hAnsi="仿宋" w:eastAsia="仿宋" w:cs="仿宋"/>
          <w:b/>
          <w:bCs/>
          <w:sz w:val="44"/>
          <w:szCs w:val="44"/>
        </w:rPr>
        <w:t>管理办法</w:t>
      </w:r>
      <w:bookmarkEnd w:id="1"/>
      <w:r>
        <w:rPr>
          <w:rStyle w:val="13"/>
          <w:rFonts w:hint="eastAsia" w:ascii="仿宋" w:hAnsi="仿宋" w:eastAsia="仿宋" w:cs="仿宋"/>
          <w:b/>
          <w:bCs/>
          <w:sz w:val="44"/>
          <w:szCs w:val="44"/>
        </w:rPr>
        <w:t>（修订）</w:t>
      </w:r>
    </w:p>
    <w:p w14:paraId="076870CD">
      <w:pPr>
        <w:keepNext w:val="0"/>
        <w:keepLines w:val="0"/>
        <w:pageBreakBefore w:val="0"/>
        <w:widowControl w:val="0"/>
        <w:kinsoku/>
        <w:overflowPunct/>
        <w:topLinePunct w:val="0"/>
        <w:autoSpaceDE/>
        <w:autoSpaceDN/>
        <w:bidi w:val="0"/>
        <w:adjustRightInd/>
        <w:spacing w:line="336" w:lineRule="auto"/>
        <w:ind w:firstLine="640" w:firstLineChars="200"/>
        <w:rPr>
          <w:rFonts w:cs="仿宋"/>
          <w:sz w:val="32"/>
          <w:szCs w:val="32"/>
        </w:rPr>
      </w:pPr>
      <w:r>
        <w:rPr>
          <w:rFonts w:hint="eastAsia" w:cs="仿宋"/>
          <w:sz w:val="32"/>
          <w:szCs w:val="32"/>
        </w:rPr>
        <w:t>为鼓励我校本科生积极参与各级各类创新创业</w:t>
      </w:r>
      <w:r>
        <w:rPr>
          <w:rFonts w:hint="eastAsia" w:cs="仿宋"/>
          <w:sz w:val="32"/>
          <w:szCs w:val="32"/>
          <w:lang w:val="en-US" w:eastAsia="zh-CN"/>
        </w:rPr>
        <w:t>活动</w:t>
      </w:r>
      <w:bookmarkStart w:id="2" w:name="_GoBack"/>
      <w:bookmarkEnd w:id="2"/>
      <w:r>
        <w:rPr>
          <w:rFonts w:hint="eastAsia" w:cs="仿宋"/>
          <w:sz w:val="32"/>
          <w:szCs w:val="32"/>
        </w:rPr>
        <w:t>，培养大学生的创新创业精神和能力，依据《国务院办公厅关于深化高等学校创新创业教育改革的实施意见》（国办发〔2015〕36号）、《辽宁师范大学关于进一步推进创新创业教育改革实施方案》（辽师大校字〔2015〕86号）的文件精神，结合我校创新创业教育实际，特制定本管理办法。</w:t>
      </w:r>
    </w:p>
    <w:p w14:paraId="6A4CF426">
      <w:pPr>
        <w:keepNext w:val="0"/>
        <w:keepLines w:val="0"/>
        <w:pageBreakBefore w:val="0"/>
        <w:widowControl w:val="0"/>
        <w:kinsoku/>
        <w:overflowPunct/>
        <w:topLinePunct w:val="0"/>
        <w:autoSpaceDE/>
        <w:autoSpaceDN/>
        <w:bidi w:val="0"/>
        <w:adjustRightInd/>
        <w:spacing w:line="336" w:lineRule="auto"/>
        <w:ind w:firstLine="643" w:firstLineChars="200"/>
        <w:rPr>
          <w:rFonts w:cs="仿宋"/>
          <w:sz w:val="32"/>
          <w:szCs w:val="32"/>
        </w:rPr>
      </w:pPr>
      <w:r>
        <w:rPr>
          <w:rFonts w:hint="eastAsia" w:cs="仿宋"/>
          <w:b/>
          <w:bCs/>
          <w:sz w:val="32"/>
          <w:szCs w:val="32"/>
        </w:rPr>
        <w:t xml:space="preserve">第一条 </w:t>
      </w:r>
      <w:r>
        <w:rPr>
          <w:rFonts w:hint="eastAsia" w:cs="仿宋"/>
          <w:sz w:val="32"/>
          <w:szCs w:val="32"/>
        </w:rPr>
        <w:t>学校把创新创业教育纳入本科人才培养方案，设立创新创业学分，作为毕业审核和学位审核的条件之一。</w:t>
      </w:r>
    </w:p>
    <w:p w14:paraId="174A742C">
      <w:pPr>
        <w:keepNext w:val="0"/>
        <w:keepLines w:val="0"/>
        <w:pageBreakBefore w:val="0"/>
        <w:widowControl w:val="0"/>
        <w:kinsoku/>
        <w:overflowPunct/>
        <w:topLinePunct w:val="0"/>
        <w:autoSpaceDE/>
        <w:autoSpaceDN/>
        <w:bidi w:val="0"/>
        <w:adjustRightInd/>
        <w:spacing w:line="336" w:lineRule="auto"/>
        <w:ind w:firstLine="643" w:firstLineChars="200"/>
        <w:rPr>
          <w:rFonts w:cs="仿宋"/>
          <w:sz w:val="32"/>
          <w:szCs w:val="32"/>
        </w:rPr>
      </w:pPr>
      <w:r>
        <w:rPr>
          <w:rFonts w:hint="eastAsia" w:cs="仿宋"/>
          <w:b/>
          <w:bCs/>
          <w:sz w:val="32"/>
          <w:szCs w:val="32"/>
        </w:rPr>
        <w:t>第二条</w:t>
      </w:r>
      <w:r>
        <w:rPr>
          <w:rFonts w:hint="eastAsia" w:cs="仿宋"/>
          <w:sz w:val="32"/>
          <w:szCs w:val="32"/>
        </w:rPr>
        <w:t xml:space="preserve"> 创新创业学分是指全日制在籍本科生在最长学习年限内参加创新创业活动并取得成果，经学校认定后所获得的学分。</w:t>
      </w:r>
    </w:p>
    <w:p w14:paraId="6E4084E6">
      <w:pPr>
        <w:keepNext w:val="0"/>
        <w:keepLines w:val="0"/>
        <w:pageBreakBefore w:val="0"/>
        <w:widowControl w:val="0"/>
        <w:kinsoku/>
        <w:overflowPunct/>
        <w:topLinePunct w:val="0"/>
        <w:autoSpaceDE/>
        <w:autoSpaceDN/>
        <w:bidi w:val="0"/>
        <w:adjustRightInd/>
        <w:spacing w:line="336" w:lineRule="auto"/>
        <w:ind w:firstLine="643" w:firstLineChars="200"/>
        <w:rPr>
          <w:rFonts w:cs="仿宋"/>
          <w:sz w:val="32"/>
          <w:szCs w:val="32"/>
        </w:rPr>
      </w:pPr>
      <w:r>
        <w:rPr>
          <w:rFonts w:hint="eastAsia" w:cs="仿宋"/>
          <w:b/>
          <w:bCs/>
          <w:sz w:val="32"/>
          <w:szCs w:val="32"/>
        </w:rPr>
        <w:t xml:space="preserve">第三条 </w:t>
      </w:r>
      <w:r>
        <w:rPr>
          <w:rFonts w:hint="eastAsia" w:cs="仿宋"/>
          <w:sz w:val="32"/>
          <w:szCs w:val="32"/>
        </w:rPr>
        <w:t>学生在完成教学计划所规定的创新创业学分外，所获得的创新创业学分可替代综合素质课程（任选）和专业发展课程（任选）的学分。获得的与专业相关的创新创业学分可替代专业发展课程的学分；替代综合素质课程的学分最多不超过2个学分，共计不能超过5个学分。进行学分替代时，需要学生本人提出申请，由学院根据专业培养目标要求及本管理办法规定进行审核,报创新创业学院备案。</w:t>
      </w:r>
    </w:p>
    <w:p w14:paraId="718ACE3F">
      <w:pPr>
        <w:keepNext w:val="0"/>
        <w:keepLines w:val="0"/>
        <w:pageBreakBefore w:val="0"/>
        <w:widowControl w:val="0"/>
        <w:kinsoku/>
        <w:overflowPunct/>
        <w:topLinePunct w:val="0"/>
        <w:autoSpaceDE/>
        <w:autoSpaceDN/>
        <w:bidi w:val="0"/>
        <w:adjustRightInd/>
        <w:spacing w:line="336" w:lineRule="auto"/>
        <w:ind w:firstLine="643" w:firstLineChars="200"/>
        <w:rPr>
          <w:rFonts w:cs="仿宋"/>
          <w:sz w:val="32"/>
          <w:szCs w:val="32"/>
        </w:rPr>
      </w:pPr>
      <w:r>
        <w:rPr>
          <w:rFonts w:hint="eastAsia" w:cs="仿宋"/>
          <w:b/>
          <w:bCs/>
          <w:sz w:val="32"/>
          <w:szCs w:val="32"/>
        </w:rPr>
        <w:t xml:space="preserve">第四条 </w:t>
      </w:r>
      <w:r>
        <w:rPr>
          <w:rFonts w:hint="eastAsia" w:cs="仿宋"/>
          <w:sz w:val="32"/>
          <w:szCs w:val="32"/>
        </w:rPr>
        <w:t>创新创业学分的构成</w:t>
      </w:r>
    </w:p>
    <w:p w14:paraId="32B1B07D">
      <w:pPr>
        <w:keepNext w:val="0"/>
        <w:keepLines w:val="0"/>
        <w:pageBreakBefore w:val="0"/>
        <w:widowControl w:val="0"/>
        <w:kinsoku/>
        <w:overflowPunct/>
        <w:topLinePunct w:val="0"/>
        <w:autoSpaceDE/>
        <w:autoSpaceDN/>
        <w:bidi w:val="0"/>
        <w:adjustRightInd/>
        <w:spacing w:line="336"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（一）创新学分</w:t>
      </w:r>
    </w:p>
    <w:p w14:paraId="5C20945B">
      <w:pPr>
        <w:keepNext w:val="0"/>
        <w:keepLines w:val="0"/>
        <w:pageBreakBefore w:val="0"/>
        <w:widowControl w:val="0"/>
        <w:kinsoku/>
        <w:overflowPunct/>
        <w:topLinePunct w:val="0"/>
        <w:autoSpaceDE/>
        <w:autoSpaceDN/>
        <w:bidi w:val="0"/>
        <w:adjustRightInd/>
        <w:spacing w:line="336" w:lineRule="auto"/>
        <w:ind w:firstLine="640" w:firstLineChars="200"/>
        <w:rPr>
          <w:rFonts w:cs="仿宋"/>
          <w:sz w:val="32"/>
          <w:szCs w:val="32"/>
        </w:rPr>
      </w:pPr>
      <w:r>
        <w:rPr>
          <w:rFonts w:hint="eastAsia" w:cs="仿宋"/>
          <w:sz w:val="32"/>
          <w:szCs w:val="32"/>
        </w:rPr>
        <w:t>1.创新创业竞赛类。指参加国家、省、市和学校所组织的各类创新创业类竞赛。</w:t>
      </w:r>
    </w:p>
    <w:p w14:paraId="429802A2">
      <w:pPr>
        <w:keepNext w:val="0"/>
        <w:keepLines w:val="0"/>
        <w:pageBreakBefore w:val="0"/>
        <w:widowControl w:val="0"/>
        <w:kinsoku/>
        <w:overflowPunct/>
        <w:topLinePunct w:val="0"/>
        <w:autoSpaceDE/>
        <w:autoSpaceDN/>
        <w:bidi w:val="0"/>
        <w:adjustRightInd/>
        <w:spacing w:line="336" w:lineRule="auto"/>
        <w:ind w:firstLine="640" w:firstLineChars="200"/>
        <w:rPr>
          <w:rFonts w:cs="仿宋"/>
          <w:sz w:val="32"/>
          <w:szCs w:val="32"/>
        </w:rPr>
      </w:pPr>
      <w:r>
        <w:rPr>
          <w:rFonts w:hint="eastAsia" w:cs="仿宋"/>
          <w:sz w:val="32"/>
          <w:szCs w:val="32"/>
        </w:rPr>
        <w:t>2</w:t>
      </w:r>
      <w:r>
        <w:rPr>
          <w:rFonts w:hint="eastAsia" w:cs="仿宋"/>
          <w:sz w:val="32"/>
          <w:szCs w:val="32"/>
          <w:lang w:val="en-US" w:eastAsia="zh-CN"/>
        </w:rPr>
        <w:t>.</w:t>
      </w:r>
      <w:r>
        <w:rPr>
          <w:rFonts w:hint="eastAsia" w:cs="仿宋"/>
          <w:sz w:val="32"/>
          <w:szCs w:val="32"/>
        </w:rPr>
        <w:t>文艺体育类。指参加国家、省、市和学校所组织的各类艺术、体育竞赛以及展演活动等。</w:t>
      </w:r>
    </w:p>
    <w:p w14:paraId="0351D50A">
      <w:pPr>
        <w:keepNext w:val="0"/>
        <w:keepLines w:val="0"/>
        <w:pageBreakBefore w:val="0"/>
        <w:widowControl w:val="0"/>
        <w:kinsoku/>
        <w:overflowPunct/>
        <w:topLinePunct w:val="0"/>
        <w:autoSpaceDE/>
        <w:autoSpaceDN/>
        <w:bidi w:val="0"/>
        <w:adjustRightInd/>
        <w:spacing w:line="336" w:lineRule="auto"/>
        <w:ind w:firstLine="640" w:firstLineChars="200"/>
        <w:rPr>
          <w:rFonts w:cs="仿宋"/>
          <w:sz w:val="32"/>
          <w:szCs w:val="32"/>
        </w:rPr>
      </w:pPr>
      <w:r>
        <w:rPr>
          <w:rFonts w:hint="eastAsia" w:cs="仿宋"/>
          <w:sz w:val="32"/>
          <w:szCs w:val="32"/>
        </w:rPr>
        <w:t>3.科研类。指主持或参与科研项目、公开发表学术论著、研究成果获奖、获国家专利等。</w:t>
      </w:r>
    </w:p>
    <w:p w14:paraId="2C33DEB6">
      <w:pPr>
        <w:pStyle w:val="4"/>
        <w:keepNext w:val="0"/>
        <w:keepLines w:val="0"/>
        <w:pageBreakBefore w:val="0"/>
        <w:widowControl w:val="0"/>
        <w:kinsoku/>
        <w:overflowPunct/>
        <w:topLinePunct w:val="0"/>
        <w:autoSpaceDE/>
        <w:autoSpaceDN/>
        <w:bidi w:val="0"/>
        <w:adjustRightInd/>
        <w:spacing w:after="0" w:line="336" w:lineRule="auto"/>
        <w:ind w:firstLine="640" w:firstLineChars="200"/>
        <w:rPr>
          <w:b w:val="0"/>
          <w:bCs w:val="0"/>
          <w:sz w:val="32"/>
          <w:szCs w:val="32"/>
        </w:rPr>
      </w:pPr>
      <w:r>
        <w:rPr>
          <w:rFonts w:hint="eastAsia" w:cs="仿宋"/>
          <w:b w:val="0"/>
          <w:bCs w:val="0"/>
          <w:sz w:val="32"/>
          <w:szCs w:val="32"/>
        </w:rPr>
        <w:t>4.辅修证书和职业资格证书类。</w:t>
      </w:r>
    </w:p>
    <w:p w14:paraId="02DB2A1C">
      <w:pPr>
        <w:pStyle w:val="4"/>
        <w:keepNext w:val="0"/>
        <w:keepLines w:val="0"/>
        <w:pageBreakBefore w:val="0"/>
        <w:widowControl w:val="0"/>
        <w:kinsoku/>
        <w:overflowPunct/>
        <w:topLinePunct w:val="0"/>
        <w:autoSpaceDE/>
        <w:autoSpaceDN/>
        <w:bidi w:val="0"/>
        <w:adjustRightInd/>
        <w:spacing w:after="0" w:line="336" w:lineRule="auto"/>
        <w:ind w:firstLine="640" w:firstLineChars="200"/>
        <w:rPr>
          <w:b w:val="0"/>
          <w:bCs w:val="0"/>
          <w:sz w:val="32"/>
          <w:szCs w:val="32"/>
        </w:rPr>
      </w:pPr>
      <w:r>
        <w:rPr>
          <w:rFonts w:hint="eastAsia" w:cs="仿宋"/>
          <w:b w:val="0"/>
          <w:bCs w:val="0"/>
          <w:sz w:val="32"/>
          <w:szCs w:val="32"/>
        </w:rPr>
        <w:t>（1）辅修证书是指修满辅修专业培养方案规定的全部课程和学分后，由学校颁发的辽宁师范大学辅修证书。</w:t>
      </w:r>
    </w:p>
    <w:p w14:paraId="7F01330F">
      <w:pPr>
        <w:keepNext w:val="0"/>
        <w:keepLines w:val="0"/>
        <w:pageBreakBefore w:val="0"/>
        <w:widowControl w:val="0"/>
        <w:kinsoku/>
        <w:overflowPunct/>
        <w:topLinePunct w:val="0"/>
        <w:autoSpaceDE/>
        <w:autoSpaceDN/>
        <w:bidi w:val="0"/>
        <w:adjustRightInd/>
        <w:spacing w:line="336" w:lineRule="auto"/>
        <w:ind w:firstLine="640" w:firstLineChars="200"/>
        <w:rPr>
          <w:rFonts w:cs="仿宋"/>
          <w:sz w:val="32"/>
          <w:szCs w:val="32"/>
        </w:rPr>
      </w:pPr>
      <w:r>
        <w:rPr>
          <w:rFonts w:hint="eastAsia" w:cs="仿宋"/>
          <w:b w:val="0"/>
          <w:bCs w:val="0"/>
          <w:sz w:val="32"/>
          <w:szCs w:val="32"/>
        </w:rPr>
        <w:t>（2）职业资格证书</w:t>
      </w:r>
      <w:r>
        <w:rPr>
          <w:rFonts w:hint="eastAsia" w:cs="仿宋"/>
          <w:sz w:val="32"/>
          <w:szCs w:val="32"/>
        </w:rPr>
        <w:t>是指按照国家制定的职业技能标准或任职资格条件，通过政府认定的考核鉴定机构，对劳动者的技能水平或职业资格进行客观公正、科学规范的评价和鉴定，由国家行政管理部门对合格者授予相应的证书。</w:t>
      </w:r>
    </w:p>
    <w:p w14:paraId="17FEF2DE">
      <w:pPr>
        <w:keepNext w:val="0"/>
        <w:keepLines w:val="0"/>
        <w:pageBreakBefore w:val="0"/>
        <w:widowControl w:val="0"/>
        <w:kinsoku/>
        <w:overflowPunct/>
        <w:topLinePunct w:val="0"/>
        <w:autoSpaceDE/>
        <w:autoSpaceDN/>
        <w:bidi w:val="0"/>
        <w:adjustRightInd/>
        <w:spacing w:line="336" w:lineRule="auto"/>
        <w:ind w:firstLine="640" w:firstLineChars="200"/>
        <w:rPr>
          <w:rFonts w:cs="仿宋"/>
          <w:sz w:val="32"/>
          <w:szCs w:val="32"/>
        </w:rPr>
      </w:pPr>
      <w:r>
        <w:rPr>
          <w:rFonts w:hint="eastAsia" w:cs="仿宋"/>
          <w:sz w:val="32"/>
          <w:szCs w:val="32"/>
        </w:rPr>
        <w:t>5.课外实践类。指在教学计划外参加各类社会活动（如“三下乡”活动等），青年志愿者活动等。</w:t>
      </w:r>
    </w:p>
    <w:p w14:paraId="1419CD2A">
      <w:pPr>
        <w:keepNext w:val="0"/>
        <w:keepLines w:val="0"/>
        <w:pageBreakBefore w:val="0"/>
        <w:widowControl w:val="0"/>
        <w:kinsoku/>
        <w:overflowPunct/>
        <w:topLinePunct w:val="0"/>
        <w:autoSpaceDE/>
        <w:autoSpaceDN/>
        <w:bidi w:val="0"/>
        <w:adjustRightInd/>
        <w:spacing w:line="336"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（二）创业学分</w:t>
      </w:r>
    </w:p>
    <w:p w14:paraId="160DAA96">
      <w:pPr>
        <w:keepNext w:val="0"/>
        <w:keepLines w:val="0"/>
        <w:pageBreakBefore w:val="0"/>
        <w:widowControl w:val="0"/>
        <w:kinsoku/>
        <w:overflowPunct/>
        <w:topLinePunct w:val="0"/>
        <w:autoSpaceDE/>
        <w:autoSpaceDN/>
        <w:bidi w:val="0"/>
        <w:adjustRightInd/>
        <w:spacing w:line="336" w:lineRule="auto"/>
        <w:ind w:firstLine="640" w:firstLineChars="200"/>
        <w:rPr>
          <w:rFonts w:cs="仿宋"/>
          <w:sz w:val="32"/>
          <w:szCs w:val="32"/>
        </w:rPr>
      </w:pPr>
      <w:r>
        <w:rPr>
          <w:rFonts w:hint="eastAsia" w:cs="仿宋"/>
          <w:sz w:val="32"/>
          <w:szCs w:val="32"/>
        </w:rPr>
        <w:t>1.大学生创新创业训练计划项目。参加国家级、省级和校级大学生创业项目并顺利结题。</w:t>
      </w:r>
    </w:p>
    <w:p w14:paraId="73B80393">
      <w:pPr>
        <w:keepNext w:val="0"/>
        <w:keepLines w:val="0"/>
        <w:pageBreakBefore w:val="0"/>
        <w:widowControl w:val="0"/>
        <w:kinsoku/>
        <w:overflowPunct/>
        <w:topLinePunct w:val="0"/>
        <w:autoSpaceDE/>
        <w:autoSpaceDN/>
        <w:bidi w:val="0"/>
        <w:adjustRightInd/>
        <w:spacing w:line="336" w:lineRule="auto"/>
        <w:ind w:firstLine="640" w:firstLineChars="200"/>
        <w:rPr>
          <w:rFonts w:cs="仿宋"/>
          <w:sz w:val="32"/>
          <w:szCs w:val="32"/>
        </w:rPr>
      </w:pPr>
      <w:r>
        <w:rPr>
          <w:rFonts w:hint="eastAsia" w:cs="仿宋"/>
          <w:sz w:val="32"/>
          <w:szCs w:val="32"/>
        </w:rPr>
        <w:t>2.创业训练。学生通过选修学校开设的创新创业课程或参加创新创业培训与学习，达到一定学时，并获得结业证明。</w:t>
      </w:r>
    </w:p>
    <w:p w14:paraId="107833E5">
      <w:pPr>
        <w:keepNext w:val="0"/>
        <w:keepLines w:val="0"/>
        <w:pageBreakBefore w:val="0"/>
        <w:widowControl w:val="0"/>
        <w:kinsoku/>
        <w:overflowPunct/>
        <w:topLinePunct w:val="0"/>
        <w:autoSpaceDE/>
        <w:autoSpaceDN/>
        <w:bidi w:val="0"/>
        <w:adjustRightInd/>
        <w:spacing w:line="336" w:lineRule="auto"/>
        <w:ind w:firstLine="640" w:firstLineChars="200"/>
        <w:rPr>
          <w:rFonts w:cs="仿宋"/>
          <w:sz w:val="32"/>
          <w:szCs w:val="32"/>
        </w:rPr>
      </w:pPr>
      <w:r>
        <w:rPr>
          <w:rFonts w:hint="eastAsia" w:cs="仿宋"/>
          <w:sz w:val="32"/>
          <w:szCs w:val="32"/>
        </w:rPr>
        <w:t>3.创业实践活动。学生参加学校创业实训项目，或组建创业团队入驻我校、区、市等各类创业孵化基地，注册成立实体公司。</w:t>
      </w:r>
    </w:p>
    <w:p w14:paraId="08C29DE3">
      <w:pPr>
        <w:keepNext w:val="0"/>
        <w:keepLines w:val="0"/>
        <w:pageBreakBefore w:val="0"/>
        <w:widowControl w:val="0"/>
        <w:kinsoku/>
        <w:overflowPunct/>
        <w:topLinePunct w:val="0"/>
        <w:autoSpaceDE/>
        <w:autoSpaceDN/>
        <w:bidi w:val="0"/>
        <w:adjustRightInd/>
        <w:spacing w:line="336" w:lineRule="auto"/>
        <w:ind w:firstLine="640" w:firstLineChars="200"/>
        <w:rPr>
          <w:rFonts w:cs="仿宋"/>
          <w:sz w:val="32"/>
          <w:szCs w:val="32"/>
        </w:rPr>
      </w:pPr>
      <w:r>
        <w:rPr>
          <w:rFonts w:hint="eastAsia" w:cs="仿宋"/>
          <w:sz w:val="32"/>
          <w:szCs w:val="32"/>
        </w:rPr>
        <w:t>4.其他创业活动。</w:t>
      </w:r>
    </w:p>
    <w:p w14:paraId="254BC78A">
      <w:pPr>
        <w:keepNext w:val="0"/>
        <w:keepLines w:val="0"/>
        <w:pageBreakBefore w:val="0"/>
        <w:widowControl w:val="0"/>
        <w:kinsoku/>
        <w:overflowPunct/>
        <w:topLinePunct w:val="0"/>
        <w:autoSpaceDE/>
        <w:autoSpaceDN/>
        <w:bidi w:val="0"/>
        <w:adjustRightInd/>
        <w:spacing w:line="336" w:lineRule="auto"/>
        <w:ind w:firstLine="630" w:firstLineChars="196"/>
        <w:rPr>
          <w:rFonts w:cs="仿宋"/>
          <w:sz w:val="32"/>
          <w:szCs w:val="32"/>
        </w:rPr>
      </w:pPr>
      <w:r>
        <w:rPr>
          <w:rFonts w:hint="eastAsia" w:cs="仿宋"/>
          <w:b/>
          <w:bCs/>
          <w:sz w:val="32"/>
          <w:szCs w:val="32"/>
        </w:rPr>
        <w:t xml:space="preserve">第五条 </w:t>
      </w:r>
      <w:r>
        <w:rPr>
          <w:rFonts w:hint="eastAsia" w:cs="仿宋"/>
          <w:sz w:val="32"/>
          <w:szCs w:val="32"/>
        </w:rPr>
        <w:t>认定创新创业学分的组织机构及职责</w:t>
      </w:r>
    </w:p>
    <w:p w14:paraId="2B39E749">
      <w:pPr>
        <w:keepNext w:val="0"/>
        <w:keepLines w:val="0"/>
        <w:pageBreakBefore w:val="0"/>
        <w:widowControl w:val="0"/>
        <w:kinsoku/>
        <w:overflowPunct/>
        <w:topLinePunct w:val="0"/>
        <w:autoSpaceDE/>
        <w:autoSpaceDN/>
        <w:bidi w:val="0"/>
        <w:adjustRightInd/>
        <w:spacing w:line="336" w:lineRule="auto"/>
        <w:ind w:firstLine="640" w:firstLineChars="200"/>
        <w:rPr>
          <w:rFonts w:cs="仿宋"/>
          <w:sz w:val="32"/>
          <w:szCs w:val="32"/>
        </w:rPr>
      </w:pPr>
      <w:r>
        <w:rPr>
          <w:rFonts w:hint="eastAsia" w:cs="仿宋"/>
          <w:sz w:val="32"/>
          <w:szCs w:val="32"/>
        </w:rPr>
        <w:t>（一）各学院成立由院长任组长，教学院长任副组长，辅导员和教学秘书为成员的创新创业学分认定小组，负责学生创新创业学分的初审、认定工作。</w:t>
      </w:r>
    </w:p>
    <w:p w14:paraId="2BF13A90">
      <w:pPr>
        <w:keepNext w:val="0"/>
        <w:keepLines w:val="0"/>
        <w:pageBreakBefore w:val="0"/>
        <w:widowControl w:val="0"/>
        <w:kinsoku/>
        <w:overflowPunct/>
        <w:topLinePunct w:val="0"/>
        <w:autoSpaceDE/>
        <w:autoSpaceDN/>
        <w:bidi w:val="0"/>
        <w:adjustRightInd/>
        <w:spacing w:line="336" w:lineRule="auto"/>
        <w:ind w:firstLine="640" w:firstLineChars="200"/>
        <w:rPr>
          <w:rFonts w:cs="仿宋"/>
          <w:sz w:val="32"/>
          <w:szCs w:val="32"/>
        </w:rPr>
      </w:pPr>
      <w:r>
        <w:rPr>
          <w:rFonts w:hint="eastAsia" w:cs="仿宋"/>
          <w:sz w:val="32"/>
          <w:szCs w:val="32"/>
        </w:rPr>
        <w:t>（二）学校成立由刘向军副校长任组长，张爽任副组长，各学院专家为成员的创新创业学分审定小组，负责创新创业学分的审定，处理有关创新创业学分方面的问题。办公室设在创新创业学院。</w:t>
      </w:r>
    </w:p>
    <w:p w14:paraId="65676EC7">
      <w:pPr>
        <w:keepNext w:val="0"/>
        <w:keepLines w:val="0"/>
        <w:pageBreakBefore w:val="0"/>
        <w:widowControl w:val="0"/>
        <w:kinsoku/>
        <w:overflowPunct/>
        <w:topLinePunct w:val="0"/>
        <w:autoSpaceDE/>
        <w:autoSpaceDN/>
        <w:bidi w:val="0"/>
        <w:adjustRightInd/>
        <w:spacing w:line="336" w:lineRule="auto"/>
        <w:ind w:firstLine="643" w:firstLineChars="200"/>
        <w:rPr>
          <w:rFonts w:cs="仿宋"/>
          <w:sz w:val="32"/>
          <w:szCs w:val="32"/>
        </w:rPr>
      </w:pPr>
      <w:r>
        <w:rPr>
          <w:rFonts w:hint="eastAsia" w:cs="仿宋"/>
          <w:b/>
          <w:bCs/>
          <w:sz w:val="32"/>
          <w:szCs w:val="32"/>
        </w:rPr>
        <w:t xml:space="preserve">第六条 </w:t>
      </w:r>
      <w:r>
        <w:rPr>
          <w:rFonts w:hint="eastAsia" w:cs="仿宋"/>
          <w:sz w:val="32"/>
          <w:szCs w:val="32"/>
        </w:rPr>
        <w:t>创新创业学分认定程序</w:t>
      </w:r>
    </w:p>
    <w:p w14:paraId="255A2C52">
      <w:pPr>
        <w:keepNext w:val="0"/>
        <w:keepLines w:val="0"/>
        <w:pageBreakBefore w:val="0"/>
        <w:widowControl w:val="0"/>
        <w:kinsoku/>
        <w:overflowPunct/>
        <w:topLinePunct w:val="0"/>
        <w:autoSpaceDE/>
        <w:autoSpaceDN/>
        <w:bidi w:val="0"/>
        <w:adjustRightInd/>
        <w:spacing w:line="336" w:lineRule="auto"/>
        <w:ind w:firstLine="640" w:firstLineChars="200"/>
        <w:rPr>
          <w:rFonts w:cs="仿宋"/>
          <w:sz w:val="32"/>
          <w:szCs w:val="32"/>
        </w:rPr>
      </w:pPr>
      <w:r>
        <w:rPr>
          <w:rFonts w:hint="eastAsia" w:cs="仿宋"/>
          <w:sz w:val="32"/>
          <w:szCs w:val="32"/>
        </w:rPr>
        <w:t>（一）学生本人填写《本科生创新创业学分申请表》，提供佐证材料，经学院创新创业学分认定小组审核认定，报创新创业学院。</w:t>
      </w:r>
    </w:p>
    <w:p w14:paraId="0049F8C4">
      <w:pPr>
        <w:keepNext w:val="0"/>
        <w:keepLines w:val="0"/>
        <w:pageBreakBefore w:val="0"/>
        <w:widowControl w:val="0"/>
        <w:kinsoku/>
        <w:overflowPunct/>
        <w:topLinePunct w:val="0"/>
        <w:autoSpaceDE/>
        <w:autoSpaceDN/>
        <w:bidi w:val="0"/>
        <w:adjustRightInd/>
        <w:spacing w:line="336" w:lineRule="auto"/>
        <w:ind w:firstLine="640" w:firstLineChars="200"/>
        <w:rPr>
          <w:rFonts w:cs="仿宋"/>
          <w:sz w:val="32"/>
          <w:szCs w:val="32"/>
        </w:rPr>
      </w:pPr>
      <w:r>
        <w:rPr>
          <w:rFonts w:hint="eastAsia" w:cs="仿宋"/>
          <w:sz w:val="32"/>
          <w:szCs w:val="32"/>
        </w:rPr>
        <w:t>（二）学校创新创业学分审定小组对学院上报的创新创业学分材料进行审定。</w:t>
      </w:r>
    </w:p>
    <w:p w14:paraId="3B897BAC">
      <w:pPr>
        <w:keepNext w:val="0"/>
        <w:keepLines w:val="0"/>
        <w:pageBreakBefore w:val="0"/>
        <w:widowControl w:val="0"/>
        <w:kinsoku/>
        <w:overflowPunct/>
        <w:topLinePunct w:val="0"/>
        <w:autoSpaceDE/>
        <w:autoSpaceDN/>
        <w:bidi w:val="0"/>
        <w:adjustRightInd/>
        <w:spacing w:line="336" w:lineRule="auto"/>
        <w:ind w:firstLine="640" w:firstLineChars="200"/>
        <w:rPr>
          <w:rFonts w:cs="仿宋"/>
          <w:sz w:val="32"/>
          <w:szCs w:val="32"/>
        </w:rPr>
      </w:pPr>
      <w:r>
        <w:rPr>
          <w:rFonts w:hint="eastAsia" w:cs="仿宋"/>
          <w:sz w:val="32"/>
          <w:szCs w:val="32"/>
        </w:rPr>
        <w:t>（三）创新创业学分的审核登记工作统一在每年的4月（仅面向毕业年级）和11月进行。</w:t>
      </w:r>
    </w:p>
    <w:p w14:paraId="103C1839">
      <w:pPr>
        <w:keepNext w:val="0"/>
        <w:keepLines w:val="0"/>
        <w:pageBreakBefore w:val="0"/>
        <w:widowControl w:val="0"/>
        <w:kinsoku/>
        <w:overflowPunct/>
        <w:topLinePunct w:val="0"/>
        <w:autoSpaceDE/>
        <w:autoSpaceDN/>
        <w:bidi w:val="0"/>
        <w:adjustRightInd/>
        <w:spacing w:line="336" w:lineRule="auto"/>
        <w:ind w:firstLine="643" w:firstLineChars="200"/>
        <w:rPr>
          <w:rFonts w:cs="仿宋"/>
          <w:sz w:val="32"/>
          <w:szCs w:val="32"/>
        </w:rPr>
      </w:pPr>
      <w:r>
        <w:rPr>
          <w:rFonts w:hint="eastAsia" w:cs="仿宋"/>
          <w:b/>
          <w:bCs/>
          <w:sz w:val="32"/>
          <w:szCs w:val="32"/>
        </w:rPr>
        <w:t>第七条</w:t>
      </w:r>
      <w:r>
        <w:rPr>
          <w:rFonts w:hint="eastAsia" w:cs="仿宋"/>
          <w:sz w:val="32"/>
          <w:szCs w:val="32"/>
        </w:rPr>
        <w:t xml:space="preserve"> 不同项目的创新创业学分可累加，但同一项目以获得的最高学分计算，不得累加。集体项目根据分工及顺序分别予以认定。</w:t>
      </w:r>
    </w:p>
    <w:p w14:paraId="595DA72A">
      <w:pPr>
        <w:keepNext w:val="0"/>
        <w:keepLines w:val="0"/>
        <w:pageBreakBefore w:val="0"/>
        <w:widowControl w:val="0"/>
        <w:kinsoku/>
        <w:overflowPunct/>
        <w:topLinePunct w:val="0"/>
        <w:autoSpaceDE/>
        <w:autoSpaceDN/>
        <w:bidi w:val="0"/>
        <w:adjustRightInd/>
        <w:spacing w:line="336" w:lineRule="auto"/>
        <w:ind w:firstLine="643" w:firstLineChars="200"/>
        <w:rPr>
          <w:rFonts w:cs="仿宋"/>
          <w:sz w:val="32"/>
          <w:szCs w:val="32"/>
        </w:rPr>
      </w:pPr>
      <w:r>
        <w:rPr>
          <w:rFonts w:hint="eastAsia" w:cs="仿宋"/>
          <w:b/>
          <w:bCs/>
          <w:sz w:val="32"/>
          <w:szCs w:val="32"/>
        </w:rPr>
        <w:t>第八条</w:t>
      </w:r>
      <w:r>
        <w:rPr>
          <w:rFonts w:hint="eastAsia" w:cs="仿宋"/>
          <w:sz w:val="32"/>
          <w:szCs w:val="32"/>
        </w:rPr>
        <w:t xml:space="preserve"> 实行创新创业学分公示与复查制度。学校对创新创业学分进行认定后，将在全校公示。公示结束后，学校将根据学生的反馈情况,进行复审,确保学分认定的公正、合理。</w:t>
      </w:r>
    </w:p>
    <w:p w14:paraId="47BB9DAD">
      <w:pPr>
        <w:keepNext w:val="0"/>
        <w:keepLines w:val="0"/>
        <w:pageBreakBefore w:val="0"/>
        <w:widowControl w:val="0"/>
        <w:kinsoku/>
        <w:overflowPunct/>
        <w:topLinePunct w:val="0"/>
        <w:autoSpaceDE/>
        <w:autoSpaceDN/>
        <w:bidi w:val="0"/>
        <w:adjustRightInd/>
        <w:spacing w:line="336" w:lineRule="auto"/>
        <w:ind w:firstLine="643" w:firstLineChars="200"/>
        <w:rPr>
          <w:sz w:val="32"/>
          <w:szCs w:val="32"/>
        </w:rPr>
      </w:pPr>
      <w:r>
        <w:rPr>
          <w:rFonts w:hint="eastAsia" w:cs="仿宋"/>
          <w:b/>
          <w:bCs/>
          <w:sz w:val="32"/>
          <w:szCs w:val="32"/>
        </w:rPr>
        <w:t>第九条</w:t>
      </w:r>
      <w:r>
        <w:rPr>
          <w:rFonts w:hint="eastAsia" w:cs="仿宋"/>
          <w:sz w:val="32"/>
          <w:szCs w:val="32"/>
        </w:rPr>
        <w:t xml:space="preserve"> 创新创业学分的实施对促进教育教学改革有重要作用,各学院应认真组织教师和学生学习《辽宁师范大学</w:t>
      </w:r>
      <w:r>
        <w:rPr>
          <w:rFonts w:hint="eastAsia"/>
          <w:sz w:val="32"/>
          <w:szCs w:val="32"/>
        </w:rPr>
        <w:t>本科生创新创业学分认定管理办法（修订）》及有关细则（详见附件1-附件6），并结合学院实际落实。</w:t>
      </w:r>
    </w:p>
    <w:p w14:paraId="121F4FBB">
      <w:pPr>
        <w:keepNext w:val="0"/>
        <w:keepLines w:val="0"/>
        <w:pageBreakBefore w:val="0"/>
        <w:widowControl w:val="0"/>
        <w:kinsoku/>
        <w:overflowPunct/>
        <w:topLinePunct w:val="0"/>
        <w:autoSpaceDE/>
        <w:autoSpaceDN/>
        <w:bidi w:val="0"/>
        <w:adjustRightInd/>
        <w:spacing w:line="336" w:lineRule="auto"/>
        <w:ind w:firstLine="630" w:firstLineChars="196"/>
        <w:rPr>
          <w:rFonts w:cs="仿宋"/>
          <w:sz w:val="32"/>
          <w:szCs w:val="32"/>
        </w:rPr>
      </w:pPr>
      <w:r>
        <w:rPr>
          <w:rFonts w:hint="eastAsia" w:cs="仿宋"/>
          <w:b/>
          <w:bCs/>
          <w:sz w:val="32"/>
          <w:szCs w:val="32"/>
        </w:rPr>
        <w:t>第十条</w:t>
      </w:r>
      <w:r>
        <w:rPr>
          <w:rFonts w:hint="eastAsia" w:cs="仿宋"/>
          <w:sz w:val="32"/>
          <w:szCs w:val="32"/>
        </w:rPr>
        <w:t xml:space="preserve"> 各学院要根据本管理办法制定本学院的实施细则，实施细则报创新创业学院审核批准后，方可执行。</w:t>
      </w:r>
    </w:p>
    <w:p w14:paraId="7DB0E93B">
      <w:pPr>
        <w:keepNext w:val="0"/>
        <w:keepLines w:val="0"/>
        <w:pageBreakBefore w:val="0"/>
        <w:widowControl w:val="0"/>
        <w:kinsoku/>
        <w:overflowPunct/>
        <w:topLinePunct w:val="0"/>
        <w:autoSpaceDE/>
        <w:autoSpaceDN/>
        <w:bidi w:val="0"/>
        <w:adjustRightInd/>
        <w:spacing w:line="336" w:lineRule="auto"/>
        <w:ind w:firstLine="643" w:firstLineChars="200"/>
        <w:rPr>
          <w:rFonts w:hint="eastAsia" w:cs="仿宋"/>
          <w:sz w:val="32"/>
          <w:szCs w:val="32"/>
        </w:rPr>
      </w:pPr>
      <w:r>
        <w:rPr>
          <w:rFonts w:hint="eastAsia" w:cs="仿宋"/>
          <w:b/>
          <w:bCs/>
          <w:sz w:val="32"/>
          <w:szCs w:val="32"/>
        </w:rPr>
        <w:t>第十一条</w:t>
      </w:r>
      <w:r>
        <w:rPr>
          <w:rFonts w:hint="eastAsia" w:cs="仿宋"/>
          <w:sz w:val="32"/>
          <w:szCs w:val="32"/>
        </w:rPr>
        <w:t xml:space="preserve"> 本办法自2</w:t>
      </w:r>
      <w:r>
        <w:rPr>
          <w:rFonts w:cs="仿宋"/>
          <w:sz w:val="32"/>
          <w:szCs w:val="32"/>
        </w:rPr>
        <w:t>02</w:t>
      </w:r>
      <w:r>
        <w:rPr>
          <w:rFonts w:hint="eastAsia" w:cs="仿宋"/>
          <w:sz w:val="32"/>
          <w:szCs w:val="32"/>
          <w:lang w:val="en-US" w:eastAsia="zh-CN"/>
        </w:rPr>
        <w:t>3</w:t>
      </w:r>
      <w:r>
        <w:rPr>
          <w:rFonts w:hint="eastAsia" w:cs="仿宋"/>
          <w:sz w:val="32"/>
          <w:szCs w:val="32"/>
        </w:rPr>
        <w:t>级本科生起执行，2</w:t>
      </w:r>
      <w:r>
        <w:rPr>
          <w:rFonts w:cs="仿宋"/>
          <w:sz w:val="32"/>
          <w:szCs w:val="32"/>
        </w:rPr>
        <w:t>02</w:t>
      </w:r>
      <w:r>
        <w:rPr>
          <w:rFonts w:hint="eastAsia" w:cs="仿宋"/>
          <w:sz w:val="32"/>
          <w:szCs w:val="32"/>
          <w:lang w:val="en-US" w:eastAsia="zh-CN"/>
        </w:rPr>
        <w:t>2</w:t>
      </w:r>
      <w:r>
        <w:rPr>
          <w:rFonts w:hint="eastAsia" w:cs="仿宋"/>
          <w:sz w:val="32"/>
          <w:szCs w:val="32"/>
        </w:rPr>
        <w:t>级、2</w:t>
      </w:r>
      <w:r>
        <w:rPr>
          <w:rFonts w:cs="仿宋"/>
          <w:sz w:val="32"/>
          <w:szCs w:val="32"/>
        </w:rPr>
        <w:t>0</w:t>
      </w:r>
      <w:r>
        <w:rPr>
          <w:rFonts w:hint="eastAsia" w:cs="仿宋"/>
          <w:sz w:val="32"/>
          <w:szCs w:val="32"/>
          <w:lang w:val="en-US" w:eastAsia="zh-CN"/>
        </w:rPr>
        <w:t>21</w:t>
      </w:r>
      <w:r>
        <w:rPr>
          <w:rFonts w:hint="eastAsia" w:cs="仿宋"/>
          <w:sz w:val="32"/>
          <w:szCs w:val="32"/>
        </w:rPr>
        <w:t>级、2</w:t>
      </w:r>
      <w:r>
        <w:rPr>
          <w:rFonts w:cs="仿宋"/>
          <w:sz w:val="32"/>
          <w:szCs w:val="32"/>
        </w:rPr>
        <w:t>0</w:t>
      </w:r>
      <w:r>
        <w:rPr>
          <w:rFonts w:hint="eastAsia" w:cs="仿宋"/>
          <w:sz w:val="32"/>
          <w:szCs w:val="32"/>
          <w:lang w:val="en-US" w:eastAsia="zh-CN"/>
        </w:rPr>
        <w:t>20</w:t>
      </w:r>
      <w:r>
        <w:rPr>
          <w:rFonts w:hint="eastAsia" w:cs="仿宋"/>
          <w:sz w:val="32"/>
          <w:szCs w:val="32"/>
        </w:rPr>
        <w:t>级仍按原管理办法执行，由创新创业学院负责解释。</w:t>
      </w:r>
    </w:p>
    <w:p w14:paraId="56F244ED">
      <w:pPr>
        <w:keepNext w:val="0"/>
        <w:keepLines w:val="0"/>
        <w:pageBreakBefore w:val="0"/>
        <w:widowControl w:val="0"/>
        <w:kinsoku/>
        <w:overflowPunct/>
        <w:topLinePunct w:val="0"/>
        <w:autoSpaceDE/>
        <w:autoSpaceDN/>
        <w:bidi w:val="0"/>
        <w:adjustRightInd/>
        <w:spacing w:line="336" w:lineRule="auto"/>
        <w:ind w:firstLine="640" w:firstLineChars="200"/>
        <w:rPr>
          <w:rFonts w:hint="eastAsia" w:cs="仿宋"/>
          <w:sz w:val="32"/>
          <w:szCs w:val="32"/>
          <w:lang w:val="en-US" w:eastAsia="zh-CN"/>
        </w:rPr>
      </w:pPr>
      <w:r>
        <w:rPr>
          <w:rFonts w:hint="eastAsia" w:cs="仿宋"/>
          <w:sz w:val="32"/>
          <w:szCs w:val="32"/>
          <w:lang w:val="en-US" w:eastAsia="zh-CN"/>
        </w:rPr>
        <w:t xml:space="preserve">附件：  </w:t>
      </w:r>
    </w:p>
    <w:p w14:paraId="0AE3A233">
      <w:pPr>
        <w:keepNext w:val="0"/>
        <w:keepLines w:val="0"/>
        <w:pageBreakBefore w:val="0"/>
        <w:widowControl w:val="0"/>
        <w:kinsoku/>
        <w:overflowPunct/>
        <w:topLinePunct w:val="0"/>
        <w:autoSpaceDE/>
        <w:autoSpaceDN/>
        <w:bidi w:val="0"/>
        <w:adjustRightInd/>
        <w:spacing w:line="336" w:lineRule="auto"/>
        <w:ind w:firstLine="640" w:firstLineChars="200"/>
        <w:rPr>
          <w:rFonts w:hint="eastAsia" w:cs="仿宋"/>
          <w:sz w:val="32"/>
          <w:szCs w:val="32"/>
        </w:rPr>
      </w:pPr>
      <w:r>
        <w:rPr>
          <w:rFonts w:hint="eastAsia" w:cs="仿宋"/>
          <w:sz w:val="32"/>
          <w:szCs w:val="32"/>
        </w:rPr>
        <w:t>1</w:t>
      </w:r>
      <w:r>
        <w:rPr>
          <w:rFonts w:hint="eastAsia" w:cs="仿宋"/>
          <w:sz w:val="32"/>
          <w:szCs w:val="32"/>
          <w:lang w:val="en-US" w:eastAsia="zh-CN"/>
        </w:rPr>
        <w:t>.</w:t>
      </w:r>
      <w:r>
        <w:rPr>
          <w:rFonts w:hint="eastAsia" w:cs="仿宋"/>
          <w:sz w:val="32"/>
          <w:szCs w:val="32"/>
        </w:rPr>
        <w:t>创新创业竞赛类学分的认定范围及标准</w:t>
      </w:r>
    </w:p>
    <w:p w14:paraId="37AABEEB">
      <w:pPr>
        <w:keepNext w:val="0"/>
        <w:keepLines w:val="0"/>
        <w:pageBreakBefore w:val="0"/>
        <w:widowControl w:val="0"/>
        <w:kinsoku/>
        <w:overflowPunct/>
        <w:topLinePunct w:val="0"/>
        <w:autoSpaceDE/>
        <w:autoSpaceDN/>
        <w:bidi w:val="0"/>
        <w:adjustRightInd/>
        <w:spacing w:line="336" w:lineRule="auto"/>
        <w:ind w:firstLine="640" w:firstLineChars="200"/>
        <w:rPr>
          <w:rFonts w:hint="eastAsia" w:cs="仿宋"/>
          <w:sz w:val="32"/>
          <w:szCs w:val="32"/>
        </w:rPr>
      </w:pPr>
      <w:r>
        <w:rPr>
          <w:rFonts w:hint="eastAsia" w:cs="仿宋"/>
          <w:sz w:val="32"/>
          <w:szCs w:val="32"/>
        </w:rPr>
        <w:t>2</w:t>
      </w:r>
      <w:r>
        <w:rPr>
          <w:rFonts w:hint="eastAsia" w:cs="仿宋"/>
          <w:sz w:val="32"/>
          <w:szCs w:val="32"/>
          <w:lang w:val="en-US" w:eastAsia="zh-CN"/>
        </w:rPr>
        <w:t>.</w:t>
      </w:r>
      <w:r>
        <w:rPr>
          <w:rFonts w:hint="eastAsia" w:cs="仿宋"/>
          <w:sz w:val="32"/>
          <w:szCs w:val="32"/>
        </w:rPr>
        <w:t>文艺体育类学分的认定范围及标准</w:t>
      </w:r>
    </w:p>
    <w:p w14:paraId="28721820">
      <w:pPr>
        <w:keepNext w:val="0"/>
        <w:keepLines w:val="0"/>
        <w:pageBreakBefore w:val="0"/>
        <w:widowControl w:val="0"/>
        <w:kinsoku/>
        <w:overflowPunct/>
        <w:topLinePunct w:val="0"/>
        <w:autoSpaceDE/>
        <w:autoSpaceDN/>
        <w:bidi w:val="0"/>
        <w:adjustRightInd/>
        <w:spacing w:line="336" w:lineRule="auto"/>
        <w:ind w:firstLine="640" w:firstLineChars="200"/>
        <w:rPr>
          <w:rFonts w:hint="default" w:cs="仿宋"/>
          <w:sz w:val="32"/>
          <w:szCs w:val="32"/>
          <w:lang w:val="en-US" w:eastAsia="zh-CN"/>
        </w:rPr>
      </w:pPr>
      <w:r>
        <w:rPr>
          <w:rFonts w:hint="eastAsia" w:cs="仿宋"/>
          <w:sz w:val="32"/>
          <w:szCs w:val="32"/>
        </w:rPr>
        <w:t>3</w:t>
      </w:r>
      <w:r>
        <w:rPr>
          <w:rFonts w:hint="eastAsia" w:cs="仿宋"/>
          <w:sz w:val="32"/>
          <w:szCs w:val="32"/>
          <w:lang w:val="en-US" w:eastAsia="zh-CN"/>
        </w:rPr>
        <w:t>.</w:t>
      </w:r>
      <w:r>
        <w:rPr>
          <w:rFonts w:hint="eastAsia" w:cs="仿宋"/>
          <w:sz w:val="32"/>
          <w:szCs w:val="32"/>
        </w:rPr>
        <w:t>科研类学分的认定范围及标准</w:t>
      </w:r>
    </w:p>
    <w:p w14:paraId="4427881D">
      <w:pPr>
        <w:keepNext w:val="0"/>
        <w:keepLines w:val="0"/>
        <w:pageBreakBefore w:val="0"/>
        <w:widowControl w:val="0"/>
        <w:kinsoku/>
        <w:overflowPunct/>
        <w:topLinePunct w:val="0"/>
        <w:autoSpaceDE/>
        <w:autoSpaceDN/>
        <w:bidi w:val="0"/>
        <w:adjustRightInd/>
        <w:spacing w:line="336" w:lineRule="auto"/>
        <w:ind w:firstLine="640" w:firstLineChars="200"/>
        <w:rPr>
          <w:rFonts w:hint="eastAsia" w:cs="仿宋"/>
          <w:sz w:val="32"/>
          <w:szCs w:val="32"/>
        </w:rPr>
      </w:pPr>
      <w:r>
        <w:rPr>
          <w:rFonts w:hint="eastAsia" w:cs="仿宋"/>
          <w:sz w:val="32"/>
          <w:szCs w:val="32"/>
        </w:rPr>
        <w:t>4</w:t>
      </w:r>
      <w:r>
        <w:rPr>
          <w:rFonts w:hint="eastAsia" w:cs="仿宋"/>
          <w:sz w:val="32"/>
          <w:szCs w:val="32"/>
          <w:lang w:val="en-US" w:eastAsia="zh-CN"/>
        </w:rPr>
        <w:t>.</w:t>
      </w:r>
      <w:r>
        <w:rPr>
          <w:rFonts w:hint="eastAsia" w:cs="仿宋"/>
          <w:sz w:val="32"/>
          <w:szCs w:val="32"/>
        </w:rPr>
        <w:t>辅修证书和职业资格证书类学分的认定范围及标准</w:t>
      </w:r>
    </w:p>
    <w:p w14:paraId="11221A4C">
      <w:pPr>
        <w:keepNext w:val="0"/>
        <w:keepLines w:val="0"/>
        <w:pageBreakBefore w:val="0"/>
        <w:widowControl w:val="0"/>
        <w:kinsoku/>
        <w:overflowPunct/>
        <w:topLinePunct w:val="0"/>
        <w:autoSpaceDE/>
        <w:autoSpaceDN/>
        <w:bidi w:val="0"/>
        <w:adjustRightInd/>
        <w:spacing w:line="336" w:lineRule="auto"/>
        <w:ind w:firstLine="640" w:firstLineChars="200"/>
        <w:rPr>
          <w:rFonts w:hint="eastAsia" w:cs="仿宋"/>
          <w:sz w:val="32"/>
          <w:szCs w:val="32"/>
        </w:rPr>
      </w:pPr>
      <w:r>
        <w:rPr>
          <w:rFonts w:hint="eastAsia" w:cs="仿宋"/>
          <w:sz w:val="32"/>
          <w:szCs w:val="32"/>
        </w:rPr>
        <w:t>5</w:t>
      </w:r>
      <w:r>
        <w:rPr>
          <w:rFonts w:hint="eastAsia" w:cs="仿宋"/>
          <w:sz w:val="32"/>
          <w:szCs w:val="32"/>
          <w:lang w:val="en-US" w:eastAsia="zh-CN"/>
        </w:rPr>
        <w:t>.</w:t>
      </w:r>
      <w:r>
        <w:rPr>
          <w:rFonts w:hint="eastAsia" w:cs="仿宋"/>
          <w:sz w:val="32"/>
          <w:szCs w:val="32"/>
        </w:rPr>
        <w:t>课外实践类学分</w:t>
      </w:r>
      <w:r>
        <w:rPr>
          <w:rFonts w:hint="eastAsia" w:cs="仿宋"/>
          <w:sz w:val="32"/>
          <w:szCs w:val="32"/>
          <w:lang w:val="en-US" w:eastAsia="zh-CN"/>
        </w:rPr>
        <w:t>的</w:t>
      </w:r>
      <w:r>
        <w:rPr>
          <w:rFonts w:hint="eastAsia" w:cs="仿宋"/>
          <w:sz w:val="32"/>
          <w:szCs w:val="32"/>
        </w:rPr>
        <w:t>认定范围及标准</w:t>
      </w:r>
    </w:p>
    <w:p w14:paraId="4B5F7D08">
      <w:pPr>
        <w:keepNext w:val="0"/>
        <w:keepLines w:val="0"/>
        <w:pageBreakBefore w:val="0"/>
        <w:widowControl w:val="0"/>
        <w:kinsoku/>
        <w:overflowPunct/>
        <w:topLinePunct w:val="0"/>
        <w:autoSpaceDE/>
        <w:autoSpaceDN/>
        <w:bidi w:val="0"/>
        <w:adjustRightInd/>
        <w:spacing w:line="336" w:lineRule="auto"/>
        <w:ind w:firstLine="640" w:firstLineChars="200"/>
        <w:rPr>
          <w:rFonts w:hint="eastAsia" w:cs="仿宋"/>
          <w:sz w:val="32"/>
          <w:szCs w:val="32"/>
        </w:rPr>
      </w:pPr>
      <w:r>
        <w:rPr>
          <w:rFonts w:hint="eastAsia" w:cs="仿宋"/>
          <w:sz w:val="32"/>
          <w:szCs w:val="32"/>
        </w:rPr>
        <w:t>6</w:t>
      </w:r>
      <w:r>
        <w:rPr>
          <w:rFonts w:hint="eastAsia" w:cs="仿宋"/>
          <w:sz w:val="32"/>
          <w:szCs w:val="32"/>
          <w:lang w:val="en-US" w:eastAsia="zh-CN"/>
        </w:rPr>
        <w:t>.</w:t>
      </w:r>
      <w:r>
        <w:rPr>
          <w:rFonts w:hint="eastAsia" w:cs="仿宋"/>
          <w:sz w:val="32"/>
          <w:szCs w:val="32"/>
        </w:rPr>
        <w:t>创业类学分</w:t>
      </w:r>
      <w:r>
        <w:rPr>
          <w:rFonts w:hint="eastAsia" w:cs="仿宋"/>
          <w:sz w:val="32"/>
          <w:szCs w:val="32"/>
          <w:lang w:val="en-US" w:eastAsia="zh-CN"/>
        </w:rPr>
        <w:t>的</w:t>
      </w:r>
      <w:r>
        <w:rPr>
          <w:rFonts w:hint="eastAsia" w:cs="仿宋"/>
          <w:sz w:val="32"/>
          <w:szCs w:val="32"/>
        </w:rPr>
        <w:t>认定范围及标准</w:t>
      </w:r>
    </w:p>
    <w:p w14:paraId="748CA013">
      <w:pPr>
        <w:keepNext w:val="0"/>
        <w:keepLines w:val="0"/>
        <w:pageBreakBefore/>
        <w:kinsoku/>
        <w:overflowPunct/>
        <w:topLinePunct w:val="0"/>
        <w:autoSpaceDE/>
        <w:autoSpaceDN/>
        <w:bidi w:val="0"/>
        <w:adjustRightInd/>
        <w:spacing w:line="336" w:lineRule="auto"/>
        <w:rPr>
          <w:rFonts w:hint="eastAsia" w:ascii="仿宋" w:hAnsi="仿宋" w:eastAsia="仿宋" w:cs="仿宋"/>
          <w:sz w:val="32"/>
          <w:szCs w:val="32"/>
          <w:highlight w:val="none"/>
        </w:rPr>
      </w:pPr>
      <w:r>
        <w:rPr>
          <w:rFonts w:hint="eastAsia" w:ascii="仿宋" w:hAnsi="仿宋" w:eastAsia="仿宋" w:cs="仿宋"/>
          <w:b/>
          <w:bCs/>
          <w:sz w:val="32"/>
          <w:szCs w:val="32"/>
          <w:highlight w:val="none"/>
        </w:rPr>
        <w:t>附件1</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创新创业竞赛类学分的认定范围及标准</w:t>
      </w:r>
    </w:p>
    <w:p w14:paraId="17C2B895">
      <w:pPr>
        <w:keepNext w:val="0"/>
        <w:keepLines w:val="0"/>
        <w:kinsoku/>
        <w:overflowPunct/>
        <w:topLinePunct w:val="0"/>
        <w:autoSpaceDE/>
        <w:autoSpaceDN/>
        <w:bidi w:val="0"/>
        <w:adjustRightInd/>
        <w:spacing w:line="336" w:lineRule="auto"/>
        <w:ind w:firstLine="640" w:firstLineChars="200"/>
        <w:rPr>
          <w:rFonts w:hint="eastAsia" w:cs="仿宋"/>
          <w:b w:val="0"/>
          <w:bCs w:val="0"/>
          <w:i w:val="0"/>
          <w:iCs w:val="0"/>
          <w:sz w:val="32"/>
          <w:szCs w:val="32"/>
          <w:highlight w:val="yellow"/>
          <w:u w:val="none"/>
          <w:lang w:val="en-US" w:eastAsia="zh-CN"/>
        </w:rPr>
      </w:pPr>
      <w:r>
        <w:rPr>
          <w:rFonts w:hint="eastAsia" w:ascii="仿宋" w:hAnsi="仿宋" w:eastAsia="仿宋" w:cs="仿宋"/>
          <w:b w:val="0"/>
          <w:bCs w:val="0"/>
          <w:i w:val="0"/>
          <w:iCs w:val="0"/>
          <w:sz w:val="32"/>
          <w:szCs w:val="32"/>
          <w:highlight w:val="none"/>
          <w:u w:val="none"/>
        </w:rPr>
        <w:t>在参加由学校组织或主办的国家、省、市和学校各类创新创业竞赛中（竞赛具体指《辽宁师范大学大学生创新创业竞赛目录》）</w:t>
      </w:r>
      <w:r>
        <w:rPr>
          <w:rFonts w:hint="eastAsia" w:cs="仿宋"/>
          <w:b w:val="0"/>
          <w:bCs w:val="0"/>
          <w:i w:val="0"/>
          <w:iCs w:val="0"/>
          <w:sz w:val="32"/>
          <w:szCs w:val="32"/>
          <w:highlight w:val="none"/>
          <w:u w:val="none"/>
          <w:lang w:eastAsia="zh-CN"/>
        </w:rPr>
        <w:t>；</w:t>
      </w:r>
      <w:r>
        <w:rPr>
          <w:rFonts w:hint="eastAsia" w:cs="仿宋"/>
          <w:b w:val="0"/>
          <w:bCs w:val="0"/>
          <w:i w:val="0"/>
          <w:iCs w:val="0"/>
          <w:sz w:val="32"/>
          <w:szCs w:val="32"/>
          <w:highlight w:val="none"/>
          <w:u w:val="none"/>
          <w:lang w:val="en-US" w:eastAsia="zh-CN"/>
        </w:rPr>
        <w:t>参加中国国际“互联网+”大学生创新创业大赛校内选拔赛中获奖同学均计1学分。</w:t>
      </w:r>
    </w:p>
    <w:tbl>
      <w:tblPr>
        <w:tblStyle w:val="6"/>
        <w:tblpPr w:leftFromText="180" w:rightFromText="180" w:vertAnchor="text" w:horzAnchor="page" w:tblpX="2374" w:tblpY="358"/>
        <w:tblOverlap w:val="never"/>
        <w:tblW w:w="7504" w:type="dxa"/>
        <w:tblInd w:w="0" w:type="dxa"/>
        <w:tblLayout w:type="fixed"/>
        <w:tblCellMar>
          <w:top w:w="0" w:type="dxa"/>
          <w:left w:w="108" w:type="dxa"/>
          <w:bottom w:w="0" w:type="dxa"/>
          <w:right w:w="108" w:type="dxa"/>
        </w:tblCellMar>
      </w:tblPr>
      <w:tblGrid>
        <w:gridCol w:w="1836"/>
        <w:gridCol w:w="1417"/>
        <w:gridCol w:w="1417"/>
        <w:gridCol w:w="1417"/>
        <w:gridCol w:w="1417"/>
      </w:tblGrid>
      <w:tr w14:paraId="4703FCFC">
        <w:tblPrEx>
          <w:tblCellMar>
            <w:top w:w="0" w:type="dxa"/>
            <w:left w:w="108" w:type="dxa"/>
            <w:bottom w:w="0" w:type="dxa"/>
            <w:right w:w="108" w:type="dxa"/>
          </w:tblCellMar>
        </w:tblPrEx>
        <w:trPr>
          <w:trHeight w:val="520" w:hRule="atLeast"/>
        </w:trPr>
        <w:tc>
          <w:tcPr>
            <w:tcW w:w="1836"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162D563F">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sz w:val="32"/>
                <w:szCs w:val="32"/>
                <w:highlight w:val="none"/>
              </w:rPr>
            </w:pPr>
            <w:r>
              <w:rPr>
                <w:rStyle w:val="11"/>
                <w:rFonts w:hint="eastAsia" w:ascii="仿宋" w:hAnsi="仿宋" w:eastAsia="仿宋" w:cs="仿宋"/>
                <w:sz w:val="32"/>
                <w:szCs w:val="32"/>
                <w:highlight w:val="none"/>
                <w:lang w:bidi="ar"/>
              </w:rPr>
              <w:t xml:space="preserve">竞赛类别    </w:t>
            </w:r>
            <w:r>
              <w:rPr>
                <w:rStyle w:val="12"/>
                <w:rFonts w:hint="eastAsia" w:ascii="仿宋" w:hAnsi="仿宋" w:eastAsia="仿宋" w:cs="仿宋"/>
                <w:sz w:val="32"/>
                <w:szCs w:val="32"/>
                <w:highlight w:val="none"/>
                <w:lang w:bidi="ar"/>
              </w:rPr>
              <w:t>获奖等级</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3190693">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特等奖</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8E59D67">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一等奖</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7112B36">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二等奖</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F908502">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三等奖</w:t>
            </w:r>
          </w:p>
        </w:tc>
      </w:tr>
      <w:tr w14:paraId="0BAD82AE">
        <w:tblPrEx>
          <w:tblCellMar>
            <w:top w:w="0" w:type="dxa"/>
            <w:left w:w="108" w:type="dxa"/>
            <w:bottom w:w="0" w:type="dxa"/>
            <w:right w:w="108" w:type="dxa"/>
          </w:tblCellMar>
        </w:tblPrEx>
        <w:trPr>
          <w:trHeight w:val="375" w:hRule="atLeast"/>
        </w:trPr>
        <w:tc>
          <w:tcPr>
            <w:tcW w:w="1836" w:type="dxa"/>
            <w:tcBorders>
              <w:top w:val="single" w:color="000000" w:sz="4" w:space="0"/>
              <w:left w:val="single" w:color="000000" w:sz="4" w:space="0"/>
              <w:bottom w:val="single" w:color="000000" w:sz="4" w:space="0"/>
              <w:right w:val="single" w:color="000000" w:sz="4" w:space="0"/>
            </w:tcBorders>
            <w:noWrap/>
            <w:vAlign w:val="center"/>
          </w:tcPr>
          <w:p w14:paraId="5A1C4D64">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T</w:t>
            </w:r>
            <w:r>
              <w:rPr>
                <w:rFonts w:hint="eastAsia" w:cs="仿宋"/>
                <w:b/>
                <w:bCs/>
                <w:color w:val="000000"/>
                <w:sz w:val="24"/>
                <w:szCs w:val="24"/>
                <w:highlight w:val="none"/>
                <w:lang w:val="en-US" w:eastAsia="zh-CN"/>
              </w:rPr>
              <w:t>Ⅰ</w:t>
            </w:r>
            <w:r>
              <w:rPr>
                <w:rFonts w:hint="eastAsia" w:ascii="仿宋" w:hAnsi="仿宋" w:eastAsia="仿宋" w:cs="仿宋"/>
                <w:b/>
                <w:bCs/>
                <w:color w:val="000000"/>
                <w:sz w:val="24"/>
                <w:szCs w:val="24"/>
                <w:highlight w:val="none"/>
              </w:rPr>
              <w:t>类</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41DEC04">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12学分</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321EE22">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10学分</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F047623">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8学分</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188B506">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6学分</w:t>
            </w:r>
          </w:p>
        </w:tc>
      </w:tr>
      <w:tr w14:paraId="3915912C">
        <w:tblPrEx>
          <w:tblCellMar>
            <w:top w:w="0" w:type="dxa"/>
            <w:left w:w="108" w:type="dxa"/>
            <w:bottom w:w="0" w:type="dxa"/>
            <w:right w:w="108" w:type="dxa"/>
          </w:tblCellMar>
        </w:tblPrEx>
        <w:trPr>
          <w:trHeight w:val="375" w:hRule="atLeast"/>
        </w:trPr>
        <w:tc>
          <w:tcPr>
            <w:tcW w:w="1836" w:type="dxa"/>
            <w:tcBorders>
              <w:top w:val="single" w:color="000000" w:sz="4" w:space="0"/>
              <w:left w:val="single" w:color="000000" w:sz="4" w:space="0"/>
              <w:bottom w:val="single" w:color="000000" w:sz="4" w:space="0"/>
              <w:right w:val="single" w:color="000000" w:sz="4" w:space="0"/>
            </w:tcBorders>
            <w:noWrap/>
            <w:vAlign w:val="center"/>
          </w:tcPr>
          <w:p w14:paraId="39FDCE16">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sz w:val="24"/>
                <w:szCs w:val="24"/>
                <w:highlight w:val="none"/>
              </w:rPr>
            </w:pPr>
            <w:r>
              <w:rPr>
                <w:rFonts w:hint="eastAsia" w:cs="仿宋"/>
                <w:b/>
                <w:bCs/>
                <w:color w:val="000000"/>
                <w:kern w:val="0"/>
                <w:sz w:val="24"/>
                <w:szCs w:val="24"/>
                <w:highlight w:val="none"/>
                <w:lang w:val="en-US" w:eastAsia="zh-CN" w:bidi="ar"/>
              </w:rPr>
              <w:t>TⅡ</w:t>
            </w:r>
            <w:r>
              <w:rPr>
                <w:rFonts w:hint="eastAsia" w:ascii="仿宋" w:hAnsi="仿宋" w:eastAsia="仿宋" w:cs="仿宋"/>
                <w:b/>
                <w:bCs/>
                <w:color w:val="000000"/>
                <w:kern w:val="0"/>
                <w:sz w:val="24"/>
                <w:szCs w:val="24"/>
                <w:highlight w:val="none"/>
                <w:lang w:bidi="ar"/>
              </w:rPr>
              <w:t>类</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4F40FBC">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6学分</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D49EF27">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5学分</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77FA03D">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4学分</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E5EBF1F">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3学分</w:t>
            </w:r>
          </w:p>
        </w:tc>
      </w:tr>
      <w:tr w14:paraId="785AD148">
        <w:tblPrEx>
          <w:tblCellMar>
            <w:top w:w="0" w:type="dxa"/>
            <w:left w:w="108" w:type="dxa"/>
            <w:bottom w:w="0" w:type="dxa"/>
            <w:right w:w="108" w:type="dxa"/>
          </w:tblCellMar>
        </w:tblPrEx>
        <w:trPr>
          <w:trHeight w:val="375" w:hRule="atLeast"/>
        </w:trPr>
        <w:tc>
          <w:tcPr>
            <w:tcW w:w="1836" w:type="dxa"/>
            <w:tcBorders>
              <w:top w:val="single" w:color="000000" w:sz="4" w:space="0"/>
              <w:left w:val="single" w:color="000000" w:sz="4" w:space="0"/>
              <w:bottom w:val="single" w:color="000000" w:sz="4" w:space="0"/>
              <w:right w:val="single" w:color="000000" w:sz="4" w:space="0"/>
            </w:tcBorders>
            <w:noWrap/>
            <w:vAlign w:val="center"/>
          </w:tcPr>
          <w:p w14:paraId="22DC6D83">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sz w:val="24"/>
                <w:szCs w:val="24"/>
                <w:highlight w:val="none"/>
              </w:rPr>
            </w:pPr>
            <w:r>
              <w:rPr>
                <w:rFonts w:hint="eastAsia" w:cs="仿宋"/>
                <w:b/>
                <w:bCs/>
                <w:color w:val="000000"/>
                <w:kern w:val="0"/>
                <w:sz w:val="24"/>
                <w:szCs w:val="24"/>
                <w:highlight w:val="none"/>
                <w:lang w:val="en-US" w:eastAsia="zh-CN" w:bidi="ar"/>
              </w:rPr>
              <w:t>A</w:t>
            </w:r>
            <w:r>
              <w:rPr>
                <w:rFonts w:hint="eastAsia" w:ascii="仿宋" w:hAnsi="仿宋" w:eastAsia="仿宋" w:cs="仿宋"/>
                <w:b/>
                <w:bCs/>
                <w:color w:val="000000"/>
                <w:kern w:val="0"/>
                <w:sz w:val="24"/>
                <w:szCs w:val="24"/>
                <w:highlight w:val="none"/>
                <w:lang w:bidi="ar"/>
              </w:rPr>
              <w:t>类</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17FE1CE">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sz w:val="24"/>
                <w:szCs w:val="24"/>
                <w:highlight w:val="none"/>
              </w:rPr>
            </w:pPr>
            <w:r>
              <w:rPr>
                <w:rFonts w:hint="eastAsia" w:cs="仿宋"/>
                <w:color w:val="000000"/>
                <w:kern w:val="0"/>
                <w:sz w:val="24"/>
                <w:szCs w:val="24"/>
                <w:highlight w:val="none"/>
                <w:lang w:val="en-US" w:eastAsia="zh-CN" w:bidi="ar"/>
              </w:rPr>
              <w:t>4</w:t>
            </w:r>
            <w:r>
              <w:rPr>
                <w:rFonts w:hint="eastAsia" w:ascii="仿宋" w:hAnsi="仿宋" w:eastAsia="仿宋" w:cs="仿宋"/>
                <w:color w:val="000000"/>
                <w:kern w:val="0"/>
                <w:sz w:val="24"/>
                <w:szCs w:val="24"/>
                <w:highlight w:val="none"/>
                <w:lang w:bidi="ar"/>
              </w:rPr>
              <w:t>学分</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E22FEB3">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sz w:val="24"/>
                <w:szCs w:val="24"/>
                <w:highlight w:val="none"/>
              </w:rPr>
            </w:pPr>
            <w:r>
              <w:rPr>
                <w:rFonts w:hint="eastAsia" w:cs="仿宋"/>
                <w:color w:val="000000"/>
                <w:kern w:val="0"/>
                <w:sz w:val="24"/>
                <w:szCs w:val="24"/>
                <w:highlight w:val="none"/>
                <w:lang w:val="en-US" w:eastAsia="zh-CN" w:bidi="ar"/>
              </w:rPr>
              <w:t>4</w:t>
            </w:r>
            <w:r>
              <w:rPr>
                <w:rFonts w:hint="eastAsia" w:ascii="仿宋" w:hAnsi="仿宋" w:eastAsia="仿宋" w:cs="仿宋"/>
                <w:color w:val="000000"/>
                <w:kern w:val="0"/>
                <w:sz w:val="24"/>
                <w:szCs w:val="24"/>
                <w:highlight w:val="none"/>
                <w:lang w:bidi="ar"/>
              </w:rPr>
              <w:t>学分</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2A7BCFF">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sz w:val="24"/>
                <w:szCs w:val="24"/>
                <w:highlight w:val="none"/>
              </w:rPr>
            </w:pPr>
            <w:r>
              <w:rPr>
                <w:rFonts w:hint="eastAsia" w:cs="仿宋"/>
                <w:color w:val="000000"/>
                <w:kern w:val="0"/>
                <w:sz w:val="24"/>
                <w:szCs w:val="24"/>
                <w:highlight w:val="none"/>
                <w:lang w:val="en-US" w:eastAsia="zh-CN" w:bidi="ar"/>
              </w:rPr>
              <w:t>3</w:t>
            </w:r>
            <w:r>
              <w:rPr>
                <w:rFonts w:hint="eastAsia" w:ascii="仿宋" w:hAnsi="仿宋" w:eastAsia="仿宋" w:cs="仿宋"/>
                <w:color w:val="000000"/>
                <w:kern w:val="0"/>
                <w:sz w:val="24"/>
                <w:szCs w:val="24"/>
                <w:highlight w:val="none"/>
                <w:lang w:bidi="ar"/>
              </w:rPr>
              <w:t>学分</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A43AF1B">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sz w:val="24"/>
                <w:szCs w:val="24"/>
                <w:highlight w:val="none"/>
              </w:rPr>
            </w:pPr>
            <w:r>
              <w:rPr>
                <w:rFonts w:hint="eastAsia"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bidi="ar"/>
              </w:rPr>
              <w:t>学分</w:t>
            </w:r>
          </w:p>
        </w:tc>
      </w:tr>
      <w:tr w14:paraId="6A5BF676">
        <w:tblPrEx>
          <w:tblCellMar>
            <w:top w:w="0" w:type="dxa"/>
            <w:left w:w="108" w:type="dxa"/>
            <w:bottom w:w="0" w:type="dxa"/>
            <w:right w:w="108" w:type="dxa"/>
          </w:tblCellMar>
        </w:tblPrEx>
        <w:trPr>
          <w:trHeight w:val="90" w:hRule="atLeast"/>
        </w:trPr>
        <w:tc>
          <w:tcPr>
            <w:tcW w:w="1836" w:type="dxa"/>
            <w:tcBorders>
              <w:top w:val="single" w:color="000000" w:sz="4" w:space="0"/>
              <w:left w:val="single" w:color="000000" w:sz="4" w:space="0"/>
              <w:bottom w:val="single" w:color="000000" w:sz="4" w:space="0"/>
              <w:right w:val="single" w:color="000000" w:sz="4" w:space="0"/>
            </w:tcBorders>
            <w:noWrap/>
            <w:vAlign w:val="center"/>
          </w:tcPr>
          <w:p w14:paraId="79AEC3A4">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sz w:val="24"/>
                <w:szCs w:val="24"/>
                <w:highlight w:val="none"/>
              </w:rPr>
            </w:pPr>
            <w:r>
              <w:rPr>
                <w:rFonts w:hint="eastAsia" w:cs="仿宋"/>
                <w:b/>
                <w:bCs/>
                <w:color w:val="000000"/>
                <w:kern w:val="0"/>
                <w:sz w:val="24"/>
                <w:szCs w:val="24"/>
                <w:highlight w:val="none"/>
                <w:lang w:val="en-US" w:eastAsia="zh-CN" w:bidi="ar"/>
              </w:rPr>
              <w:t>B</w:t>
            </w:r>
            <w:r>
              <w:rPr>
                <w:rFonts w:hint="eastAsia" w:ascii="仿宋" w:hAnsi="仿宋" w:eastAsia="仿宋" w:cs="仿宋"/>
                <w:b/>
                <w:bCs/>
                <w:color w:val="000000"/>
                <w:kern w:val="0"/>
                <w:sz w:val="24"/>
                <w:szCs w:val="24"/>
                <w:highlight w:val="none"/>
                <w:lang w:bidi="ar"/>
              </w:rPr>
              <w:t>类</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4B0A74B">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bidi="ar"/>
              </w:rPr>
              <w:t>学分</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7091AF9">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bidi="ar"/>
              </w:rPr>
              <w:t>学分</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D2A2424">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cs="仿宋"/>
                <w:color w:val="000000"/>
                <w:kern w:val="0"/>
                <w:sz w:val="24"/>
                <w:szCs w:val="24"/>
                <w:highlight w:val="none"/>
                <w:lang w:val="en-US" w:eastAsia="zh-CN" w:bidi="ar"/>
              </w:rPr>
              <w:t>1</w:t>
            </w:r>
            <w:r>
              <w:rPr>
                <w:rFonts w:hint="eastAsia" w:ascii="仿宋" w:hAnsi="仿宋" w:eastAsia="仿宋" w:cs="仿宋"/>
                <w:color w:val="000000"/>
                <w:kern w:val="0"/>
                <w:sz w:val="24"/>
                <w:szCs w:val="24"/>
                <w:highlight w:val="none"/>
                <w:lang w:bidi="ar"/>
              </w:rPr>
              <w:t>学分</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39A89DA">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cs="仿宋"/>
                <w:color w:val="000000"/>
                <w:kern w:val="0"/>
                <w:sz w:val="24"/>
                <w:szCs w:val="24"/>
                <w:highlight w:val="none"/>
                <w:lang w:val="en-US" w:eastAsia="zh-CN" w:bidi="ar"/>
              </w:rPr>
              <w:t>1</w:t>
            </w:r>
            <w:r>
              <w:rPr>
                <w:rFonts w:hint="eastAsia" w:ascii="仿宋" w:hAnsi="仿宋" w:eastAsia="仿宋" w:cs="仿宋"/>
                <w:color w:val="000000"/>
                <w:kern w:val="0"/>
                <w:sz w:val="24"/>
                <w:szCs w:val="24"/>
                <w:highlight w:val="none"/>
                <w:lang w:bidi="ar"/>
              </w:rPr>
              <w:t>学分</w:t>
            </w:r>
          </w:p>
        </w:tc>
      </w:tr>
      <w:tr w14:paraId="454B9BD3">
        <w:tblPrEx>
          <w:tblCellMar>
            <w:top w:w="0" w:type="dxa"/>
            <w:left w:w="108" w:type="dxa"/>
            <w:bottom w:w="0" w:type="dxa"/>
            <w:right w:w="108" w:type="dxa"/>
          </w:tblCellMar>
        </w:tblPrEx>
        <w:trPr>
          <w:trHeight w:val="90" w:hRule="atLeast"/>
        </w:trPr>
        <w:tc>
          <w:tcPr>
            <w:tcW w:w="1836" w:type="dxa"/>
            <w:tcBorders>
              <w:top w:val="single" w:color="000000" w:sz="4" w:space="0"/>
              <w:left w:val="single" w:color="000000" w:sz="4" w:space="0"/>
              <w:bottom w:val="single" w:color="000000" w:sz="4" w:space="0"/>
              <w:right w:val="single" w:color="000000" w:sz="4" w:space="0"/>
            </w:tcBorders>
            <w:noWrap/>
            <w:vAlign w:val="center"/>
          </w:tcPr>
          <w:p w14:paraId="186CF07B">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sz w:val="24"/>
                <w:szCs w:val="24"/>
                <w:highlight w:val="none"/>
              </w:rPr>
            </w:pPr>
            <w:r>
              <w:rPr>
                <w:rFonts w:hint="eastAsia" w:cs="仿宋"/>
                <w:b/>
                <w:bCs/>
                <w:color w:val="000000"/>
                <w:kern w:val="0"/>
                <w:sz w:val="24"/>
                <w:szCs w:val="24"/>
                <w:highlight w:val="none"/>
                <w:lang w:val="en-US" w:eastAsia="zh-CN" w:bidi="ar"/>
              </w:rPr>
              <w:t>C</w:t>
            </w:r>
            <w:r>
              <w:rPr>
                <w:rFonts w:hint="eastAsia" w:ascii="仿宋" w:hAnsi="仿宋" w:eastAsia="仿宋" w:cs="仿宋"/>
                <w:b/>
                <w:bCs/>
                <w:color w:val="000000"/>
                <w:kern w:val="0"/>
                <w:sz w:val="24"/>
                <w:szCs w:val="24"/>
                <w:highlight w:val="none"/>
                <w:lang w:bidi="ar"/>
              </w:rPr>
              <w:t>类</w:t>
            </w:r>
          </w:p>
        </w:tc>
        <w:tc>
          <w:tcPr>
            <w:tcW w:w="5668" w:type="dxa"/>
            <w:gridSpan w:val="4"/>
            <w:tcBorders>
              <w:top w:val="single" w:color="000000" w:sz="4" w:space="0"/>
              <w:left w:val="single" w:color="000000" w:sz="4" w:space="0"/>
              <w:bottom w:val="single" w:color="000000" w:sz="4" w:space="0"/>
              <w:right w:val="single" w:color="000000" w:sz="4" w:space="0"/>
            </w:tcBorders>
            <w:noWrap/>
            <w:vAlign w:val="center"/>
          </w:tcPr>
          <w:p w14:paraId="52D6A3AE">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cs="仿宋"/>
                <w:color w:val="000000"/>
                <w:kern w:val="2"/>
                <w:sz w:val="24"/>
                <w:szCs w:val="24"/>
                <w:highlight w:val="none"/>
                <w:lang w:val="en-US" w:eastAsia="zh-CN" w:bidi="ar-SA"/>
              </w:rPr>
              <w:t>0.5学分</w:t>
            </w:r>
          </w:p>
        </w:tc>
      </w:tr>
    </w:tbl>
    <w:p w14:paraId="60BBB6D2">
      <w:pPr>
        <w:pStyle w:val="2"/>
        <w:keepNext w:val="0"/>
        <w:keepLines w:val="0"/>
        <w:pageBreakBefore w:val="0"/>
        <w:widowControl w:val="0"/>
        <w:kinsoku/>
        <w:wordWrap/>
        <w:overflowPunct/>
        <w:topLinePunct w:val="0"/>
        <w:autoSpaceDE/>
        <w:autoSpaceDN/>
        <w:bidi w:val="0"/>
        <w:adjustRightInd/>
        <w:snapToGrid w:val="0"/>
        <w:ind w:firstLine="482" w:firstLineChars="200"/>
        <w:textAlignment w:val="baseline"/>
        <w:rPr>
          <w:rFonts w:hint="default" w:cs="仿宋"/>
          <w:b w:val="0"/>
          <w:bCs w:val="0"/>
          <w:i w:val="0"/>
          <w:iCs w:val="0"/>
          <w:sz w:val="32"/>
          <w:szCs w:val="32"/>
          <w:highlight w:val="yellow"/>
          <w:u w:val="none"/>
          <w:lang w:val="en-US" w:eastAsia="zh-CN"/>
        </w:rPr>
      </w:pPr>
      <w:r>
        <w:rPr>
          <w:rFonts w:hint="eastAsia" w:cs="仿宋"/>
          <w:b/>
          <w:bCs/>
          <w:color w:val="000000"/>
          <w:kern w:val="0"/>
          <w:sz w:val="24"/>
          <w:szCs w:val="24"/>
          <w:highlight w:val="none"/>
          <w:lang w:val="en-US" w:eastAsia="zh-CN" w:bidi="ar"/>
        </w:rPr>
        <w:t>注：C类竞赛为学校组织参加除T、A、B类竞赛以外的竞赛；C类和院级学科竞赛认定总学分最多不超过1学分。</w:t>
      </w:r>
    </w:p>
    <w:p w14:paraId="4960A152">
      <w:pPr>
        <w:keepNext w:val="0"/>
        <w:keepLines w:val="0"/>
        <w:pageBreakBefore/>
        <w:kinsoku/>
        <w:overflowPunct/>
        <w:topLinePunct w:val="0"/>
        <w:autoSpaceDE/>
        <w:autoSpaceDN/>
        <w:bidi w:val="0"/>
        <w:adjustRightInd/>
        <w:spacing w:line="336" w:lineRule="auto"/>
        <w:rPr>
          <w:rFonts w:hint="eastAsia" w:ascii="仿宋" w:hAnsi="仿宋" w:eastAsia="仿宋" w:cs="仿宋"/>
          <w:sz w:val="32"/>
          <w:szCs w:val="32"/>
        </w:rPr>
      </w:pPr>
      <w:r>
        <w:rPr>
          <w:rFonts w:hint="eastAsia" w:ascii="仿宋" w:hAnsi="仿宋" w:eastAsia="仿宋" w:cs="仿宋"/>
          <w:b/>
          <w:bCs/>
          <w:sz w:val="32"/>
          <w:szCs w:val="32"/>
        </w:rPr>
        <w:t>附件2：文艺体育类学分的认定范围及标准</w:t>
      </w:r>
    </w:p>
    <w:p w14:paraId="71C70962">
      <w:pPr>
        <w:keepNext w:val="0"/>
        <w:keepLines w:val="0"/>
        <w:pageBreakBefore w:val="0"/>
        <w:widowControl w:val="0"/>
        <w:numPr>
          <w:ilvl w:val="0"/>
          <w:numId w:val="1"/>
        </w:numPr>
        <w:kinsoku/>
        <w:wordWrap/>
        <w:overflowPunct/>
        <w:topLinePunct w:val="0"/>
        <w:autoSpaceDE/>
        <w:autoSpaceDN/>
        <w:bidi w:val="0"/>
        <w:adjustRightInd/>
        <w:snapToGrid/>
        <w:spacing w:line="336" w:lineRule="auto"/>
        <w:ind w:firstLine="640" w:firstLineChars="200"/>
        <w:textAlignment w:val="auto"/>
        <w:rPr>
          <w:rFonts w:hint="eastAsia"/>
        </w:rPr>
      </w:pPr>
      <w:r>
        <w:rPr>
          <w:rFonts w:hint="eastAsia" w:ascii="仿宋" w:hAnsi="仿宋" w:eastAsia="仿宋" w:cs="仿宋"/>
          <w:sz w:val="32"/>
          <w:szCs w:val="32"/>
        </w:rPr>
        <w:t>参加文体比赛（含演讲比赛、辩论比赛、知识竞赛等）</w:t>
      </w:r>
      <w:r>
        <w:rPr>
          <w:rFonts w:hint="eastAsia" w:cs="仿宋"/>
          <w:sz w:val="32"/>
          <w:szCs w:val="32"/>
          <w:lang w:val="en-US" w:eastAsia="zh-CN"/>
        </w:rPr>
        <w:t>按下表认定学分。</w:t>
      </w:r>
    </w:p>
    <w:tbl>
      <w:tblPr>
        <w:tblStyle w:val="6"/>
        <w:tblpPr w:leftFromText="180" w:rightFromText="180" w:vertAnchor="text" w:horzAnchor="page" w:tblpX="2374" w:tblpY="358"/>
        <w:tblOverlap w:val="never"/>
        <w:tblW w:w="7644" w:type="dxa"/>
        <w:tblInd w:w="0" w:type="dxa"/>
        <w:tblLayout w:type="fixed"/>
        <w:tblCellMar>
          <w:top w:w="0" w:type="dxa"/>
          <w:left w:w="108" w:type="dxa"/>
          <w:bottom w:w="0" w:type="dxa"/>
          <w:right w:w="108" w:type="dxa"/>
        </w:tblCellMar>
      </w:tblPr>
      <w:tblGrid>
        <w:gridCol w:w="2687"/>
        <w:gridCol w:w="1790"/>
        <w:gridCol w:w="1459"/>
        <w:gridCol w:w="1708"/>
      </w:tblGrid>
      <w:tr w14:paraId="0D489A7C">
        <w:tblPrEx>
          <w:tblCellMar>
            <w:top w:w="0" w:type="dxa"/>
            <w:left w:w="108" w:type="dxa"/>
            <w:bottom w:w="0" w:type="dxa"/>
            <w:right w:w="108" w:type="dxa"/>
          </w:tblCellMar>
        </w:tblPrEx>
        <w:trPr>
          <w:trHeight w:val="520" w:hRule="atLeast"/>
        </w:trPr>
        <w:tc>
          <w:tcPr>
            <w:tcW w:w="2687"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0FBF2EB7">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sz w:val="32"/>
                <w:szCs w:val="32"/>
                <w:highlight w:val="none"/>
              </w:rPr>
            </w:pPr>
            <w:r>
              <w:rPr>
                <w:rStyle w:val="11"/>
                <w:rFonts w:hint="eastAsia" w:ascii="仿宋" w:hAnsi="仿宋" w:eastAsia="仿宋" w:cs="仿宋"/>
                <w:sz w:val="32"/>
                <w:szCs w:val="32"/>
                <w:highlight w:val="none"/>
                <w:lang w:bidi="ar"/>
              </w:rPr>
              <w:t xml:space="preserve">竞赛类别    </w:t>
            </w:r>
            <w:r>
              <w:rPr>
                <w:rStyle w:val="12"/>
                <w:rFonts w:hint="eastAsia" w:ascii="仿宋" w:hAnsi="仿宋" w:eastAsia="仿宋" w:cs="仿宋"/>
                <w:sz w:val="32"/>
                <w:szCs w:val="32"/>
                <w:highlight w:val="none"/>
                <w:lang w:bidi="ar"/>
              </w:rPr>
              <w:t>获奖等级</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451D5740">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sz w:val="28"/>
                <w:szCs w:val="28"/>
                <w:highlight w:val="none"/>
              </w:rPr>
            </w:pPr>
            <w:r>
              <w:rPr>
                <w:rFonts w:hint="eastAsia" w:ascii="宋体" w:hAnsi="宋体" w:eastAsia="宋体" w:cs="宋体"/>
                <w:color w:val="000000"/>
                <w:kern w:val="0"/>
                <w:sz w:val="24"/>
                <w:szCs w:val="24"/>
              </w:rPr>
              <w:t>1-3名</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45828C1B">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sz w:val="28"/>
                <w:szCs w:val="28"/>
                <w:highlight w:val="none"/>
                <w:lang w:eastAsia="zh-CN"/>
              </w:rPr>
            </w:pPr>
            <w:r>
              <w:rPr>
                <w:rFonts w:hint="eastAsia" w:ascii="宋体" w:hAnsi="宋体" w:eastAsia="宋体" w:cs="宋体"/>
                <w:color w:val="000000"/>
                <w:kern w:val="0"/>
                <w:sz w:val="24"/>
                <w:szCs w:val="24"/>
              </w:rPr>
              <w:t>4-5名</w:t>
            </w:r>
          </w:p>
        </w:tc>
        <w:tc>
          <w:tcPr>
            <w:tcW w:w="1708" w:type="dxa"/>
            <w:tcBorders>
              <w:top w:val="single" w:color="000000" w:sz="4" w:space="0"/>
              <w:left w:val="single" w:color="000000" w:sz="4" w:space="0"/>
              <w:bottom w:val="single" w:color="000000" w:sz="4" w:space="0"/>
              <w:right w:val="single" w:color="000000" w:sz="4" w:space="0"/>
            </w:tcBorders>
            <w:noWrap/>
            <w:vAlign w:val="center"/>
          </w:tcPr>
          <w:p w14:paraId="156F7223">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sz w:val="28"/>
                <w:szCs w:val="28"/>
                <w:highlight w:val="none"/>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名</w:t>
            </w:r>
          </w:p>
        </w:tc>
      </w:tr>
      <w:tr w14:paraId="0D15DFAE">
        <w:tblPrEx>
          <w:tblCellMar>
            <w:top w:w="0" w:type="dxa"/>
            <w:left w:w="108" w:type="dxa"/>
            <w:bottom w:w="0" w:type="dxa"/>
            <w:right w:w="108" w:type="dxa"/>
          </w:tblCellMar>
        </w:tblPrEx>
        <w:trPr>
          <w:trHeight w:val="375" w:hRule="atLeast"/>
        </w:trPr>
        <w:tc>
          <w:tcPr>
            <w:tcW w:w="2687" w:type="dxa"/>
            <w:tcBorders>
              <w:top w:val="single" w:color="000000" w:sz="4" w:space="0"/>
              <w:left w:val="single" w:color="000000" w:sz="4" w:space="0"/>
              <w:bottom w:val="single" w:color="000000" w:sz="4" w:space="0"/>
              <w:right w:val="single" w:color="000000" w:sz="4" w:space="0"/>
            </w:tcBorders>
            <w:noWrap/>
            <w:vAlign w:val="center"/>
          </w:tcPr>
          <w:p w14:paraId="08ACAEBE">
            <w:pPr>
              <w:keepNext w:val="0"/>
              <w:keepLines w:val="0"/>
              <w:widowControl/>
              <w:kinsoku/>
              <w:overflowPunct/>
              <w:topLinePunct w:val="0"/>
              <w:autoSpaceDE/>
              <w:autoSpaceDN/>
              <w:bidi w:val="0"/>
              <w:adjustRightInd/>
              <w:spacing w:line="336" w:lineRule="auto"/>
              <w:jc w:val="center"/>
              <w:textAlignment w:val="center"/>
              <w:rPr>
                <w:rFonts w:hint="default" w:ascii="仿宋" w:hAnsi="仿宋" w:eastAsia="仿宋" w:cs="仿宋"/>
                <w:b/>
                <w:bCs/>
                <w:color w:val="000000"/>
                <w:sz w:val="24"/>
                <w:szCs w:val="24"/>
                <w:highlight w:val="none"/>
                <w:lang w:val="en-US"/>
              </w:rPr>
            </w:pPr>
            <w:r>
              <w:rPr>
                <w:rFonts w:hint="eastAsia" w:cs="仿宋"/>
                <w:b/>
                <w:bCs/>
                <w:color w:val="000000"/>
                <w:kern w:val="0"/>
                <w:sz w:val="24"/>
                <w:szCs w:val="24"/>
                <w:highlight w:val="none"/>
                <w:lang w:val="en-US" w:eastAsia="zh-CN" w:bidi="ar"/>
              </w:rPr>
              <w:t>国家级（个人）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16341699">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sz w:val="24"/>
                <w:szCs w:val="24"/>
                <w:highlight w:val="none"/>
              </w:rPr>
            </w:pPr>
            <w:r>
              <w:rPr>
                <w:rFonts w:hint="eastAsia" w:cs="仿宋"/>
                <w:color w:val="000000"/>
                <w:kern w:val="0"/>
                <w:sz w:val="24"/>
                <w:szCs w:val="24"/>
                <w:highlight w:val="none"/>
                <w:lang w:val="en-US" w:eastAsia="zh-CN" w:bidi="ar"/>
              </w:rPr>
              <w:t>3</w:t>
            </w:r>
            <w:r>
              <w:rPr>
                <w:rFonts w:hint="eastAsia" w:ascii="仿宋" w:hAnsi="仿宋" w:eastAsia="仿宋" w:cs="仿宋"/>
                <w:color w:val="000000"/>
                <w:kern w:val="0"/>
                <w:sz w:val="24"/>
                <w:szCs w:val="24"/>
                <w:highlight w:val="none"/>
                <w:lang w:bidi="ar"/>
              </w:rPr>
              <w:t>学分</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3062772E">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sz w:val="24"/>
                <w:szCs w:val="24"/>
                <w:highlight w:val="none"/>
              </w:rPr>
            </w:pPr>
            <w:r>
              <w:rPr>
                <w:rFonts w:hint="eastAsia"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bidi="ar"/>
              </w:rPr>
              <w:t>学分</w:t>
            </w:r>
          </w:p>
        </w:tc>
        <w:tc>
          <w:tcPr>
            <w:tcW w:w="1708" w:type="dxa"/>
            <w:tcBorders>
              <w:top w:val="single" w:color="000000" w:sz="4" w:space="0"/>
              <w:left w:val="single" w:color="000000" w:sz="4" w:space="0"/>
              <w:bottom w:val="single" w:color="000000" w:sz="4" w:space="0"/>
              <w:right w:val="single" w:color="000000" w:sz="4" w:space="0"/>
            </w:tcBorders>
            <w:noWrap/>
            <w:vAlign w:val="center"/>
          </w:tcPr>
          <w:p w14:paraId="30948972">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sz w:val="24"/>
                <w:szCs w:val="24"/>
                <w:highlight w:val="none"/>
              </w:rPr>
            </w:pPr>
            <w:r>
              <w:rPr>
                <w:rFonts w:hint="eastAsia"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bidi="ar"/>
              </w:rPr>
              <w:t>学分</w:t>
            </w:r>
          </w:p>
        </w:tc>
      </w:tr>
      <w:tr w14:paraId="78A4CFFB">
        <w:tblPrEx>
          <w:tblCellMar>
            <w:top w:w="0" w:type="dxa"/>
            <w:left w:w="108" w:type="dxa"/>
            <w:bottom w:w="0" w:type="dxa"/>
            <w:right w:w="108" w:type="dxa"/>
          </w:tblCellMar>
        </w:tblPrEx>
        <w:trPr>
          <w:trHeight w:val="90" w:hRule="atLeast"/>
        </w:trPr>
        <w:tc>
          <w:tcPr>
            <w:tcW w:w="2687" w:type="dxa"/>
            <w:tcBorders>
              <w:top w:val="single" w:color="000000" w:sz="4" w:space="0"/>
              <w:left w:val="single" w:color="000000" w:sz="4" w:space="0"/>
              <w:bottom w:val="single" w:color="000000" w:sz="4" w:space="0"/>
              <w:right w:val="single" w:color="000000" w:sz="4" w:space="0"/>
            </w:tcBorders>
            <w:noWrap/>
            <w:vAlign w:val="center"/>
          </w:tcPr>
          <w:p w14:paraId="64FCDC9C">
            <w:pPr>
              <w:keepNext w:val="0"/>
              <w:keepLines w:val="0"/>
              <w:widowControl/>
              <w:kinsoku/>
              <w:overflowPunct/>
              <w:topLinePunct w:val="0"/>
              <w:autoSpaceDE/>
              <w:autoSpaceDN/>
              <w:bidi w:val="0"/>
              <w:adjustRightInd/>
              <w:spacing w:line="336" w:lineRule="auto"/>
              <w:jc w:val="center"/>
              <w:textAlignment w:val="center"/>
              <w:rPr>
                <w:rFonts w:hint="default" w:ascii="仿宋" w:hAnsi="仿宋" w:eastAsia="仿宋" w:cs="仿宋"/>
                <w:b/>
                <w:bCs/>
                <w:color w:val="000000"/>
                <w:sz w:val="24"/>
                <w:szCs w:val="24"/>
                <w:highlight w:val="none"/>
                <w:lang w:val="en-US" w:eastAsia="zh-CN"/>
              </w:rPr>
            </w:pPr>
            <w:r>
              <w:rPr>
                <w:rFonts w:hint="eastAsia" w:cs="仿宋"/>
                <w:b/>
                <w:bCs/>
                <w:color w:val="000000"/>
                <w:sz w:val="24"/>
                <w:szCs w:val="24"/>
                <w:highlight w:val="none"/>
                <w:lang w:val="en-US" w:eastAsia="zh-CN"/>
              </w:rPr>
              <w:t>国家级（集体）</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74B4816D">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cs="仿宋"/>
                <w:color w:val="000000"/>
                <w:kern w:val="0"/>
                <w:sz w:val="24"/>
                <w:szCs w:val="24"/>
                <w:highlight w:val="none"/>
                <w:lang w:val="en-US" w:eastAsia="zh-CN" w:bidi="ar"/>
              </w:rPr>
              <w:t>3</w:t>
            </w:r>
            <w:r>
              <w:rPr>
                <w:rFonts w:hint="eastAsia" w:ascii="仿宋" w:hAnsi="仿宋" w:eastAsia="仿宋" w:cs="仿宋"/>
                <w:color w:val="000000"/>
                <w:kern w:val="0"/>
                <w:sz w:val="24"/>
                <w:szCs w:val="24"/>
                <w:highlight w:val="none"/>
                <w:lang w:bidi="ar"/>
              </w:rPr>
              <w:t>学分</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0A802FE9">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bidi="ar"/>
              </w:rPr>
              <w:t>学分</w:t>
            </w:r>
          </w:p>
        </w:tc>
        <w:tc>
          <w:tcPr>
            <w:tcW w:w="1708" w:type="dxa"/>
            <w:tcBorders>
              <w:top w:val="single" w:color="000000" w:sz="4" w:space="0"/>
              <w:left w:val="single" w:color="000000" w:sz="4" w:space="0"/>
              <w:bottom w:val="single" w:color="000000" w:sz="4" w:space="0"/>
              <w:right w:val="single" w:color="000000" w:sz="4" w:space="0"/>
            </w:tcBorders>
            <w:noWrap/>
            <w:vAlign w:val="center"/>
          </w:tcPr>
          <w:p w14:paraId="774221C9">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bidi="ar"/>
              </w:rPr>
              <w:t>学分</w:t>
            </w:r>
          </w:p>
        </w:tc>
      </w:tr>
      <w:tr w14:paraId="6C6EBAE9">
        <w:tblPrEx>
          <w:tblCellMar>
            <w:top w:w="0" w:type="dxa"/>
            <w:left w:w="108" w:type="dxa"/>
            <w:bottom w:w="0" w:type="dxa"/>
            <w:right w:w="108" w:type="dxa"/>
          </w:tblCellMar>
        </w:tblPrEx>
        <w:trPr>
          <w:trHeight w:val="90" w:hRule="atLeast"/>
        </w:trPr>
        <w:tc>
          <w:tcPr>
            <w:tcW w:w="2687" w:type="dxa"/>
            <w:tcBorders>
              <w:top w:val="single" w:color="000000" w:sz="4" w:space="0"/>
              <w:left w:val="single" w:color="000000" w:sz="4" w:space="0"/>
              <w:bottom w:val="single" w:color="000000" w:sz="4" w:space="0"/>
              <w:right w:val="single" w:color="000000" w:sz="4" w:space="0"/>
            </w:tcBorders>
            <w:noWrap/>
            <w:vAlign w:val="center"/>
          </w:tcPr>
          <w:p w14:paraId="1627A460">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kern w:val="2"/>
                <w:sz w:val="24"/>
                <w:szCs w:val="24"/>
                <w:highlight w:val="none"/>
                <w:lang w:val="en-US" w:eastAsia="zh-CN" w:bidi="ar-SA"/>
              </w:rPr>
            </w:pPr>
            <w:r>
              <w:rPr>
                <w:rFonts w:hint="eastAsia" w:cs="仿宋"/>
                <w:b/>
                <w:bCs/>
                <w:color w:val="000000"/>
                <w:kern w:val="0"/>
                <w:sz w:val="24"/>
                <w:szCs w:val="24"/>
                <w:highlight w:val="none"/>
                <w:lang w:val="en-US" w:eastAsia="zh-CN" w:bidi="ar"/>
              </w:rPr>
              <w:t>省级（个人）</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34533B5F">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bidi="ar"/>
              </w:rPr>
              <w:t>学分</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559001C3">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cs="仿宋"/>
                <w:color w:val="000000"/>
                <w:kern w:val="0"/>
                <w:sz w:val="24"/>
                <w:szCs w:val="24"/>
                <w:highlight w:val="none"/>
                <w:lang w:val="en-US" w:eastAsia="zh-CN" w:bidi="ar"/>
              </w:rPr>
              <w:t>1</w:t>
            </w:r>
            <w:r>
              <w:rPr>
                <w:rFonts w:hint="eastAsia" w:ascii="仿宋" w:hAnsi="仿宋" w:eastAsia="仿宋" w:cs="仿宋"/>
                <w:color w:val="000000"/>
                <w:kern w:val="0"/>
                <w:sz w:val="24"/>
                <w:szCs w:val="24"/>
                <w:highlight w:val="none"/>
                <w:lang w:bidi="ar"/>
              </w:rPr>
              <w:t>学分</w:t>
            </w:r>
          </w:p>
        </w:tc>
        <w:tc>
          <w:tcPr>
            <w:tcW w:w="1708" w:type="dxa"/>
            <w:tcBorders>
              <w:top w:val="single" w:color="000000" w:sz="4" w:space="0"/>
              <w:left w:val="single" w:color="000000" w:sz="4" w:space="0"/>
              <w:bottom w:val="single" w:color="000000" w:sz="4" w:space="0"/>
              <w:right w:val="single" w:color="000000" w:sz="4" w:space="0"/>
            </w:tcBorders>
            <w:noWrap/>
            <w:vAlign w:val="center"/>
          </w:tcPr>
          <w:p w14:paraId="1E30E83F">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cs="仿宋"/>
                <w:color w:val="000000"/>
                <w:kern w:val="0"/>
                <w:sz w:val="24"/>
                <w:szCs w:val="24"/>
                <w:highlight w:val="none"/>
                <w:lang w:val="en-US" w:eastAsia="zh-CN" w:bidi="ar"/>
              </w:rPr>
              <w:t>1</w:t>
            </w:r>
            <w:r>
              <w:rPr>
                <w:rFonts w:hint="eastAsia" w:ascii="仿宋" w:hAnsi="仿宋" w:eastAsia="仿宋" w:cs="仿宋"/>
                <w:color w:val="000000"/>
                <w:kern w:val="0"/>
                <w:sz w:val="24"/>
                <w:szCs w:val="24"/>
                <w:highlight w:val="none"/>
                <w:lang w:bidi="ar"/>
              </w:rPr>
              <w:t>学分</w:t>
            </w:r>
          </w:p>
        </w:tc>
      </w:tr>
      <w:tr w14:paraId="72CAD7E6">
        <w:tblPrEx>
          <w:tblCellMar>
            <w:top w:w="0" w:type="dxa"/>
            <w:left w:w="108" w:type="dxa"/>
            <w:bottom w:w="0" w:type="dxa"/>
            <w:right w:w="108" w:type="dxa"/>
          </w:tblCellMar>
        </w:tblPrEx>
        <w:trPr>
          <w:trHeight w:val="90" w:hRule="atLeast"/>
        </w:trPr>
        <w:tc>
          <w:tcPr>
            <w:tcW w:w="2687" w:type="dxa"/>
            <w:tcBorders>
              <w:top w:val="single" w:color="000000" w:sz="4" w:space="0"/>
              <w:left w:val="single" w:color="000000" w:sz="4" w:space="0"/>
              <w:bottom w:val="single" w:color="000000" w:sz="4" w:space="0"/>
              <w:right w:val="single" w:color="000000" w:sz="4" w:space="0"/>
            </w:tcBorders>
            <w:noWrap/>
            <w:vAlign w:val="center"/>
          </w:tcPr>
          <w:p w14:paraId="57CFB795">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kern w:val="2"/>
                <w:sz w:val="24"/>
                <w:szCs w:val="24"/>
                <w:highlight w:val="none"/>
                <w:lang w:val="en-US" w:eastAsia="zh-CN" w:bidi="ar-SA"/>
              </w:rPr>
            </w:pPr>
            <w:r>
              <w:rPr>
                <w:rFonts w:hint="eastAsia" w:cs="仿宋"/>
                <w:b/>
                <w:bCs/>
                <w:color w:val="000000"/>
                <w:sz w:val="24"/>
                <w:szCs w:val="24"/>
                <w:highlight w:val="none"/>
                <w:lang w:val="en-US" w:eastAsia="zh-CN"/>
              </w:rPr>
              <w:t>省级（集体）</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4AB98D9D">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bidi="ar"/>
              </w:rPr>
              <w:t>学分</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0FF36F36">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cs="仿宋"/>
                <w:color w:val="000000"/>
                <w:kern w:val="0"/>
                <w:sz w:val="24"/>
                <w:szCs w:val="24"/>
                <w:highlight w:val="none"/>
                <w:lang w:val="en-US" w:eastAsia="zh-CN" w:bidi="ar"/>
              </w:rPr>
              <w:t>1</w:t>
            </w:r>
            <w:r>
              <w:rPr>
                <w:rFonts w:hint="eastAsia" w:ascii="仿宋" w:hAnsi="仿宋" w:eastAsia="仿宋" w:cs="仿宋"/>
                <w:color w:val="000000"/>
                <w:kern w:val="0"/>
                <w:sz w:val="24"/>
                <w:szCs w:val="24"/>
                <w:highlight w:val="none"/>
                <w:lang w:bidi="ar"/>
              </w:rPr>
              <w:t>学分</w:t>
            </w:r>
          </w:p>
        </w:tc>
        <w:tc>
          <w:tcPr>
            <w:tcW w:w="1708" w:type="dxa"/>
            <w:tcBorders>
              <w:top w:val="single" w:color="000000" w:sz="4" w:space="0"/>
              <w:left w:val="single" w:color="000000" w:sz="4" w:space="0"/>
              <w:bottom w:val="single" w:color="000000" w:sz="4" w:space="0"/>
              <w:right w:val="single" w:color="000000" w:sz="4" w:space="0"/>
            </w:tcBorders>
            <w:noWrap/>
            <w:vAlign w:val="center"/>
          </w:tcPr>
          <w:p w14:paraId="4E7B907D">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cs="仿宋"/>
                <w:color w:val="000000"/>
                <w:kern w:val="0"/>
                <w:sz w:val="24"/>
                <w:szCs w:val="24"/>
                <w:highlight w:val="none"/>
                <w:lang w:val="en-US" w:eastAsia="zh-CN" w:bidi="ar"/>
              </w:rPr>
              <w:t>1</w:t>
            </w:r>
            <w:r>
              <w:rPr>
                <w:rFonts w:hint="eastAsia" w:ascii="仿宋" w:hAnsi="仿宋" w:eastAsia="仿宋" w:cs="仿宋"/>
                <w:color w:val="000000"/>
                <w:kern w:val="0"/>
                <w:sz w:val="24"/>
                <w:szCs w:val="24"/>
                <w:highlight w:val="none"/>
                <w:lang w:bidi="ar"/>
              </w:rPr>
              <w:t>学分</w:t>
            </w:r>
          </w:p>
        </w:tc>
      </w:tr>
      <w:tr w14:paraId="02C97B61">
        <w:tblPrEx>
          <w:tblCellMar>
            <w:top w:w="0" w:type="dxa"/>
            <w:left w:w="108" w:type="dxa"/>
            <w:bottom w:w="0" w:type="dxa"/>
            <w:right w:w="108" w:type="dxa"/>
          </w:tblCellMar>
        </w:tblPrEx>
        <w:trPr>
          <w:trHeight w:val="436" w:hRule="atLeast"/>
        </w:trPr>
        <w:tc>
          <w:tcPr>
            <w:tcW w:w="2687" w:type="dxa"/>
            <w:tcBorders>
              <w:top w:val="single" w:color="000000" w:sz="4" w:space="0"/>
              <w:left w:val="single" w:color="000000" w:sz="4" w:space="0"/>
              <w:bottom w:val="single" w:color="000000" w:sz="4" w:space="0"/>
              <w:right w:val="single" w:color="000000" w:sz="4" w:space="0"/>
            </w:tcBorders>
            <w:noWrap/>
            <w:vAlign w:val="center"/>
          </w:tcPr>
          <w:p w14:paraId="4984D7D9">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kern w:val="2"/>
                <w:sz w:val="24"/>
                <w:szCs w:val="24"/>
                <w:highlight w:val="none"/>
                <w:lang w:val="en-US" w:eastAsia="zh-CN" w:bidi="ar-SA"/>
              </w:rPr>
            </w:pPr>
            <w:r>
              <w:rPr>
                <w:rFonts w:hint="eastAsia" w:cs="仿宋"/>
                <w:b/>
                <w:bCs/>
                <w:color w:val="000000"/>
                <w:kern w:val="0"/>
                <w:sz w:val="24"/>
                <w:szCs w:val="24"/>
                <w:highlight w:val="none"/>
                <w:lang w:val="en-US" w:eastAsia="zh-CN" w:bidi="ar"/>
              </w:rPr>
              <w:t>市级、校级（个人）</w:t>
            </w:r>
          </w:p>
        </w:tc>
        <w:tc>
          <w:tcPr>
            <w:tcW w:w="4957" w:type="dxa"/>
            <w:gridSpan w:val="3"/>
            <w:tcBorders>
              <w:top w:val="single" w:color="000000" w:sz="4" w:space="0"/>
              <w:left w:val="single" w:color="000000" w:sz="4" w:space="0"/>
              <w:bottom w:val="single" w:color="000000" w:sz="4" w:space="0"/>
              <w:right w:val="single" w:color="000000" w:sz="4" w:space="0"/>
            </w:tcBorders>
            <w:noWrap/>
            <w:vAlign w:val="center"/>
          </w:tcPr>
          <w:p w14:paraId="2AE15A30">
            <w:pPr>
              <w:keepNext w:val="0"/>
              <w:keepLines w:val="0"/>
              <w:widowControl/>
              <w:kinsoku/>
              <w:overflowPunct/>
              <w:topLinePunct w:val="0"/>
              <w:autoSpaceDE/>
              <w:autoSpaceDN/>
              <w:bidi w:val="0"/>
              <w:adjustRightInd/>
              <w:spacing w:line="336" w:lineRule="auto"/>
              <w:jc w:val="center"/>
              <w:textAlignment w:val="center"/>
              <w:rPr>
                <w:rFonts w:hint="eastAsia" w:cs="仿宋"/>
                <w:color w:val="000000"/>
                <w:kern w:val="2"/>
                <w:sz w:val="24"/>
                <w:szCs w:val="24"/>
                <w:highlight w:val="none"/>
                <w:lang w:val="en-US" w:eastAsia="zh-CN" w:bidi="ar-SA"/>
              </w:rPr>
            </w:pPr>
            <w:r>
              <w:rPr>
                <w:rFonts w:hint="eastAsia" w:cs="仿宋"/>
                <w:color w:val="000000"/>
                <w:kern w:val="2"/>
                <w:sz w:val="24"/>
                <w:szCs w:val="24"/>
                <w:highlight w:val="none"/>
                <w:lang w:val="en-US" w:eastAsia="zh-CN" w:bidi="ar-SA"/>
              </w:rPr>
              <w:t>0.5学分</w:t>
            </w:r>
          </w:p>
        </w:tc>
      </w:tr>
      <w:tr w14:paraId="0E4DC2DA">
        <w:tblPrEx>
          <w:tblCellMar>
            <w:top w:w="0" w:type="dxa"/>
            <w:left w:w="108" w:type="dxa"/>
            <w:bottom w:w="0" w:type="dxa"/>
            <w:right w:w="108" w:type="dxa"/>
          </w:tblCellMar>
        </w:tblPrEx>
        <w:trPr>
          <w:trHeight w:val="90" w:hRule="atLeast"/>
        </w:trPr>
        <w:tc>
          <w:tcPr>
            <w:tcW w:w="2687" w:type="dxa"/>
            <w:tcBorders>
              <w:top w:val="single" w:color="000000" w:sz="4" w:space="0"/>
              <w:left w:val="single" w:color="000000" w:sz="4" w:space="0"/>
              <w:bottom w:val="single" w:color="000000" w:sz="4" w:space="0"/>
              <w:right w:val="single" w:color="000000" w:sz="4" w:space="0"/>
            </w:tcBorders>
            <w:noWrap/>
            <w:vAlign w:val="center"/>
          </w:tcPr>
          <w:p w14:paraId="18438E4C">
            <w:pPr>
              <w:keepNext w:val="0"/>
              <w:keepLines w:val="0"/>
              <w:widowControl/>
              <w:kinsoku/>
              <w:overflowPunct/>
              <w:topLinePunct w:val="0"/>
              <w:autoSpaceDE/>
              <w:autoSpaceDN/>
              <w:bidi w:val="0"/>
              <w:adjustRightInd/>
              <w:spacing w:line="336" w:lineRule="auto"/>
              <w:jc w:val="center"/>
              <w:textAlignment w:val="center"/>
              <w:rPr>
                <w:rFonts w:hint="eastAsia" w:ascii="仿宋" w:hAnsi="仿宋" w:eastAsia="仿宋" w:cs="仿宋"/>
                <w:b/>
                <w:bCs/>
                <w:color w:val="000000"/>
                <w:kern w:val="2"/>
                <w:sz w:val="24"/>
                <w:szCs w:val="24"/>
                <w:highlight w:val="none"/>
                <w:lang w:val="en-US" w:eastAsia="zh-CN" w:bidi="ar-SA"/>
              </w:rPr>
            </w:pPr>
            <w:r>
              <w:rPr>
                <w:rFonts w:hint="eastAsia" w:cs="仿宋"/>
                <w:b/>
                <w:bCs/>
                <w:color w:val="000000"/>
                <w:sz w:val="24"/>
                <w:szCs w:val="24"/>
                <w:highlight w:val="none"/>
                <w:lang w:val="en-US" w:eastAsia="zh-CN"/>
              </w:rPr>
              <w:t>市级、校级（集体）</w:t>
            </w:r>
          </w:p>
        </w:tc>
        <w:tc>
          <w:tcPr>
            <w:tcW w:w="4957" w:type="dxa"/>
            <w:gridSpan w:val="3"/>
            <w:tcBorders>
              <w:top w:val="single" w:color="000000" w:sz="4" w:space="0"/>
              <w:left w:val="single" w:color="000000" w:sz="4" w:space="0"/>
              <w:bottom w:val="single" w:color="000000" w:sz="4" w:space="0"/>
              <w:right w:val="single" w:color="000000" w:sz="4" w:space="0"/>
            </w:tcBorders>
            <w:noWrap/>
            <w:vAlign w:val="center"/>
          </w:tcPr>
          <w:p w14:paraId="5C17F8C4">
            <w:pPr>
              <w:keepNext w:val="0"/>
              <w:keepLines w:val="0"/>
              <w:widowControl/>
              <w:kinsoku/>
              <w:overflowPunct/>
              <w:topLinePunct w:val="0"/>
              <w:autoSpaceDE/>
              <w:autoSpaceDN/>
              <w:bidi w:val="0"/>
              <w:adjustRightInd/>
              <w:spacing w:line="336" w:lineRule="auto"/>
              <w:jc w:val="center"/>
              <w:textAlignment w:val="center"/>
              <w:rPr>
                <w:rFonts w:hint="eastAsia" w:cs="仿宋"/>
                <w:color w:val="000000"/>
                <w:kern w:val="2"/>
                <w:sz w:val="24"/>
                <w:szCs w:val="24"/>
                <w:highlight w:val="none"/>
                <w:lang w:val="en-US" w:eastAsia="zh-CN" w:bidi="ar-SA"/>
              </w:rPr>
            </w:pPr>
            <w:r>
              <w:rPr>
                <w:rFonts w:hint="eastAsia" w:cs="仿宋"/>
                <w:color w:val="000000"/>
                <w:kern w:val="2"/>
                <w:sz w:val="24"/>
                <w:szCs w:val="24"/>
                <w:highlight w:val="none"/>
                <w:lang w:val="en-US" w:eastAsia="zh-CN" w:bidi="ar-SA"/>
              </w:rPr>
              <w:t>0.5学分</w:t>
            </w:r>
          </w:p>
        </w:tc>
      </w:tr>
    </w:tbl>
    <w:p w14:paraId="129FFC88">
      <w:pPr>
        <w:pStyle w:val="2"/>
        <w:numPr>
          <w:ilvl w:val="0"/>
          <w:numId w:val="0"/>
        </w:numPr>
        <w:rPr>
          <w:rFonts w:hint="eastAsia"/>
        </w:rPr>
      </w:pPr>
    </w:p>
    <w:p w14:paraId="2DA6C575">
      <w:pPr>
        <w:keepNext w:val="0"/>
        <w:keepLines w:val="0"/>
        <w:pageBreakBefore w:val="0"/>
        <w:widowControl w:val="0"/>
        <w:numPr>
          <w:ilvl w:val="0"/>
          <w:numId w:val="1"/>
        </w:numPr>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参加国家、省、市（校）大型艺术和体育展演活动者，每次分级别计2、1、0.5学分。</w:t>
      </w:r>
    </w:p>
    <w:p w14:paraId="24C5294D">
      <w:pPr>
        <w:pStyle w:val="4"/>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7029BBFE">
      <w:pPr>
        <w:keepNext w:val="0"/>
        <w:keepLines w:val="0"/>
        <w:pageBreakBefore/>
        <w:kinsoku/>
        <w:overflowPunct/>
        <w:topLinePunct w:val="0"/>
        <w:autoSpaceDE/>
        <w:autoSpaceDN/>
        <w:bidi w:val="0"/>
        <w:adjustRightInd/>
        <w:spacing w:line="336" w:lineRule="auto"/>
        <w:rPr>
          <w:rFonts w:hint="eastAsia" w:ascii="仿宋" w:hAnsi="仿宋" w:eastAsia="仿宋" w:cs="仿宋"/>
          <w:b/>
          <w:bCs/>
          <w:sz w:val="32"/>
          <w:szCs w:val="32"/>
        </w:rPr>
      </w:pPr>
      <w:r>
        <w:rPr>
          <w:rFonts w:hint="eastAsia" w:ascii="仿宋" w:hAnsi="仿宋" w:eastAsia="仿宋" w:cs="仿宋"/>
          <w:b/>
          <w:bCs/>
          <w:sz w:val="32"/>
          <w:szCs w:val="32"/>
        </w:rPr>
        <w:t>附件3：科研类学分的认定范围及标准</w:t>
      </w:r>
    </w:p>
    <w:p w14:paraId="283CAD1B">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（一）科研获奖</w:t>
      </w:r>
    </w:p>
    <w:p w14:paraId="6604BEA0">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研究成果指学术研究类成果，参见《辽宁师范大学科研成果认定办法》（辽师大校发</w:t>
      </w:r>
      <w:r>
        <w:rPr>
          <w:rFonts w:hint="eastAsia" w:cs="仿宋"/>
          <w:sz w:val="32"/>
          <w:szCs w:val="32"/>
          <w:lang w:eastAsia="zh-CN"/>
        </w:rPr>
        <w:t>【</w:t>
      </w:r>
      <w:r>
        <w:rPr>
          <w:rFonts w:hint="eastAsia" w:ascii="仿宋" w:hAnsi="仿宋" w:eastAsia="仿宋" w:cs="仿宋"/>
          <w:sz w:val="32"/>
          <w:szCs w:val="32"/>
        </w:rPr>
        <w:t>2021】37号）；</w:t>
      </w:r>
    </w:p>
    <w:p w14:paraId="081D004F">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获得T类成果，计9学分；A类成果，计8学分；获得B级成果，计6学分；获得C类科研成果，计5学分；获得D类成果，计3学分；获得E类成果，计2学分。</w:t>
      </w:r>
    </w:p>
    <w:p w14:paraId="564767B1">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（二）大学生创新训练计划项目</w:t>
      </w:r>
    </w:p>
    <w:p w14:paraId="2056F0EA">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1.主持并完成国家级大学生创新训练计划项目负责人计</w:t>
      </w:r>
      <w:r>
        <w:rPr>
          <w:rFonts w:hint="eastAsia" w:cs="仿宋"/>
          <w:sz w:val="32"/>
          <w:szCs w:val="32"/>
          <w:lang w:val="en-US" w:eastAsia="zh-CN"/>
        </w:rPr>
        <w:t>4</w:t>
      </w:r>
      <w:r>
        <w:rPr>
          <w:rFonts w:hint="eastAsia" w:ascii="仿宋" w:hAnsi="仿宋" w:eastAsia="仿宋" w:cs="仿宋"/>
          <w:sz w:val="32"/>
          <w:szCs w:val="32"/>
        </w:rPr>
        <w:t>学分，参与人计</w:t>
      </w:r>
      <w:r>
        <w:rPr>
          <w:rFonts w:hint="eastAsia" w:cs="仿宋"/>
          <w:sz w:val="32"/>
          <w:szCs w:val="32"/>
          <w:lang w:val="en-US" w:eastAsia="zh-CN"/>
        </w:rPr>
        <w:t>2</w:t>
      </w:r>
      <w:r>
        <w:rPr>
          <w:rFonts w:hint="eastAsia" w:ascii="仿宋" w:hAnsi="仿宋" w:eastAsia="仿宋" w:cs="仿宋"/>
          <w:sz w:val="32"/>
          <w:szCs w:val="32"/>
        </w:rPr>
        <w:t>学分；省级大学生创新训练计划项目负责人计</w:t>
      </w:r>
      <w:r>
        <w:rPr>
          <w:rFonts w:hint="eastAsia" w:cs="仿宋"/>
          <w:sz w:val="32"/>
          <w:szCs w:val="32"/>
          <w:lang w:val="en-US" w:eastAsia="zh-CN"/>
        </w:rPr>
        <w:t>3</w:t>
      </w:r>
      <w:r>
        <w:rPr>
          <w:rFonts w:hint="eastAsia" w:ascii="仿宋" w:hAnsi="仿宋" w:eastAsia="仿宋" w:cs="仿宋"/>
          <w:sz w:val="32"/>
          <w:szCs w:val="32"/>
        </w:rPr>
        <w:t>学分，参与人计1学分；校级大学生创新训练计划项目负责人计</w:t>
      </w:r>
      <w:r>
        <w:rPr>
          <w:rFonts w:hint="eastAsia" w:cs="仿宋"/>
          <w:sz w:val="32"/>
          <w:szCs w:val="32"/>
          <w:lang w:val="en-US" w:eastAsia="zh-CN"/>
        </w:rPr>
        <w:t>2</w:t>
      </w:r>
      <w:r>
        <w:rPr>
          <w:rFonts w:hint="eastAsia" w:ascii="仿宋" w:hAnsi="仿宋" w:eastAsia="仿宋" w:cs="仿宋"/>
          <w:sz w:val="32"/>
          <w:szCs w:val="32"/>
        </w:rPr>
        <w:t>学分，参与人计0.5学分。</w:t>
      </w:r>
    </w:p>
    <w:p w14:paraId="35233F27">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2.参与教师科研课题，排名前三名以内（含项目主持人），提交结题证书后，国家级课题参与人计2学分，省级课题参与人计1学分</w:t>
      </w:r>
      <w:r>
        <w:rPr>
          <w:rFonts w:hint="eastAsia" w:cs="仿宋"/>
          <w:sz w:val="32"/>
          <w:szCs w:val="32"/>
          <w:lang w:eastAsia="zh-CN"/>
        </w:rPr>
        <w:t>，</w:t>
      </w:r>
      <w:r>
        <w:rPr>
          <w:rFonts w:hint="eastAsia" w:cs="仿宋"/>
          <w:sz w:val="32"/>
          <w:szCs w:val="32"/>
          <w:lang w:val="en-US" w:eastAsia="zh-CN"/>
        </w:rPr>
        <w:t>市级和</w:t>
      </w:r>
      <w:r>
        <w:rPr>
          <w:rFonts w:hint="eastAsia" w:ascii="仿宋" w:hAnsi="仿宋" w:eastAsia="仿宋" w:cs="仿宋"/>
          <w:sz w:val="32"/>
          <w:szCs w:val="32"/>
        </w:rPr>
        <w:t>校级课题参与人计0.5学分。</w:t>
      </w:r>
    </w:p>
    <w:p w14:paraId="1951AA71">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（三）学术论文</w:t>
      </w:r>
    </w:p>
    <w:p w14:paraId="23B9208F">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1.学术论文等级的认定，参照我校学术论文认定目录执行。</w:t>
      </w:r>
    </w:p>
    <w:p w14:paraId="3B37638A">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b/>
          <w:bCs/>
          <w:i/>
          <w:iCs/>
          <w:sz w:val="32"/>
          <w:szCs w:val="32"/>
          <w:u w:val="single"/>
        </w:rPr>
      </w:pPr>
      <w:r>
        <w:rPr>
          <w:rFonts w:hint="eastAsia" w:ascii="仿宋" w:hAnsi="仿宋" w:eastAsia="仿宋" w:cs="仿宋"/>
          <w:sz w:val="32"/>
          <w:szCs w:val="32"/>
        </w:rPr>
        <w:t>2.公开发表的学术论文，被SCI、CSSCI、EI、ISTP、CSCD、SSCI收录的论文和B类以上论文计8学分；C类刊物论文6学分；D类刊物论文2学分；在公开出版的报纸、杂志上发表有一定影响力的文章（文章字数超过2500字以上），国家级、省级、市级分别计3、2、1学分。</w:t>
      </w:r>
    </w:p>
    <w:p w14:paraId="166C9B2C">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3.公开发表学术论文学分计算方法</w:t>
      </w:r>
    </w:p>
    <w:p w14:paraId="30206763">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分两类：一类是教师为第一作者（第一署名单位为辽宁师范大学）、学生为第二作者的学术论文；二类是学生为第一作者的学术论文（第一署名单位为辽宁师范大学）。在同级别的论文中，一类论文为第二作者与二类论文为第一作者的学生获得同等学分。对于多名作者的论文，根据排序按1学分依次递减。</w:t>
      </w:r>
    </w:p>
    <w:p w14:paraId="669970D6">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（四）专利申请</w:t>
      </w:r>
    </w:p>
    <w:p w14:paraId="7F706AA2">
      <w:pPr>
        <w:keepNext w:val="0"/>
        <w:keepLines w:val="0"/>
        <w:kinsoku/>
        <w:overflowPunct/>
        <w:topLinePunct w:val="0"/>
        <w:autoSpaceDE/>
        <w:autoSpaceDN/>
        <w:bidi w:val="0"/>
        <w:adjustRightInd/>
        <w:spacing w:line="336"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获得授权发明专利者计</w:t>
      </w:r>
      <w:r>
        <w:rPr>
          <w:rFonts w:hint="eastAsia" w:cs="仿宋"/>
          <w:sz w:val="32"/>
          <w:szCs w:val="32"/>
          <w:lang w:val="en-US" w:eastAsia="zh-CN"/>
        </w:rPr>
        <w:t>5</w:t>
      </w:r>
      <w:r>
        <w:rPr>
          <w:rFonts w:hint="eastAsia" w:ascii="仿宋" w:hAnsi="仿宋" w:eastAsia="仿宋" w:cs="仿宋"/>
          <w:sz w:val="32"/>
          <w:szCs w:val="32"/>
        </w:rPr>
        <w:t>学分；获得授权实用新型专利</w:t>
      </w:r>
      <w:r>
        <w:rPr>
          <w:rFonts w:hint="eastAsia" w:cs="仿宋"/>
          <w:sz w:val="32"/>
          <w:szCs w:val="32"/>
          <w:lang w:val="en-US" w:eastAsia="zh-CN"/>
        </w:rPr>
        <w:t>和软著</w:t>
      </w:r>
      <w:r>
        <w:rPr>
          <w:rFonts w:hint="eastAsia" w:ascii="仿宋" w:hAnsi="仿宋" w:eastAsia="仿宋" w:cs="仿宋"/>
          <w:sz w:val="32"/>
          <w:szCs w:val="32"/>
        </w:rPr>
        <w:t>者计</w:t>
      </w:r>
      <w:r>
        <w:rPr>
          <w:rFonts w:hint="eastAsia" w:cs="仿宋"/>
          <w:sz w:val="32"/>
          <w:szCs w:val="32"/>
          <w:lang w:val="en-US" w:eastAsia="zh-CN"/>
        </w:rPr>
        <w:t>2</w:t>
      </w:r>
      <w:r>
        <w:rPr>
          <w:rFonts w:hint="eastAsia" w:ascii="仿宋" w:hAnsi="仿宋" w:eastAsia="仿宋" w:cs="仿宋"/>
          <w:sz w:val="32"/>
          <w:szCs w:val="32"/>
        </w:rPr>
        <w:t>学分；获得授权外观设计专利者计</w:t>
      </w:r>
      <w:r>
        <w:rPr>
          <w:rFonts w:hint="eastAsia" w:cs="仿宋"/>
          <w:sz w:val="32"/>
          <w:szCs w:val="32"/>
          <w:lang w:val="en-US" w:eastAsia="zh-CN"/>
        </w:rPr>
        <w:t>1</w:t>
      </w:r>
      <w:r>
        <w:rPr>
          <w:rFonts w:hint="eastAsia" w:ascii="仿宋" w:hAnsi="仿宋" w:eastAsia="仿宋" w:cs="仿宋"/>
          <w:sz w:val="32"/>
          <w:szCs w:val="32"/>
        </w:rPr>
        <w:t>学分</w:t>
      </w:r>
      <w:r>
        <w:rPr>
          <w:rFonts w:hint="eastAsia" w:cs="仿宋"/>
          <w:sz w:val="32"/>
          <w:szCs w:val="32"/>
          <w:lang w:eastAsia="zh-CN"/>
        </w:rPr>
        <w:t>；</w:t>
      </w:r>
      <w:r>
        <w:rPr>
          <w:rFonts w:hint="eastAsia" w:ascii="仿宋" w:hAnsi="仿宋" w:eastAsia="仿宋" w:cs="仿宋"/>
          <w:sz w:val="32"/>
          <w:szCs w:val="32"/>
        </w:rPr>
        <w:t>成功申请</w:t>
      </w:r>
      <w:r>
        <w:rPr>
          <w:rFonts w:hint="eastAsia" w:cs="仿宋"/>
          <w:sz w:val="32"/>
          <w:szCs w:val="32"/>
          <w:lang w:val="en-US" w:eastAsia="zh-CN"/>
        </w:rPr>
        <w:t>者均计0.5学分。</w:t>
      </w:r>
    </w:p>
    <w:p w14:paraId="63719916">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b/>
          <w:bCs/>
          <w:sz w:val="32"/>
          <w:szCs w:val="32"/>
        </w:rPr>
      </w:pPr>
      <w:r>
        <w:rPr>
          <w:rFonts w:hint="eastAsia" w:ascii="仿宋" w:hAnsi="仿宋" w:eastAsia="仿宋" w:cs="仿宋"/>
          <w:sz w:val="32"/>
          <w:szCs w:val="32"/>
        </w:rPr>
        <w:t>（五）创新训练</w:t>
      </w:r>
    </w:p>
    <w:p w14:paraId="549D60A5">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学生通过选修学校开设的创新课程或参加学校组织创新课程或者实训课程，并获得修读或结业证明，按课程类别（理论课或实践课）标准进行学分认定。</w:t>
      </w:r>
    </w:p>
    <w:p w14:paraId="64732EFF">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p>
    <w:p w14:paraId="1B1790DA">
      <w:pPr>
        <w:pStyle w:val="2"/>
        <w:rPr>
          <w:rFonts w:hint="eastAsia" w:ascii="仿宋" w:hAnsi="仿宋" w:eastAsia="仿宋" w:cs="仿宋"/>
          <w:sz w:val="32"/>
          <w:szCs w:val="32"/>
        </w:rPr>
      </w:pPr>
    </w:p>
    <w:p w14:paraId="416DCE1D">
      <w:pPr>
        <w:pStyle w:val="2"/>
        <w:rPr>
          <w:rFonts w:hint="eastAsia" w:ascii="仿宋" w:hAnsi="仿宋" w:eastAsia="仿宋" w:cs="仿宋"/>
          <w:sz w:val="32"/>
          <w:szCs w:val="32"/>
        </w:rPr>
      </w:pPr>
    </w:p>
    <w:p w14:paraId="24467006">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62A6B63B">
      <w:pPr>
        <w:keepNext w:val="0"/>
        <w:keepLines w:val="0"/>
        <w:kinsoku/>
        <w:overflowPunct/>
        <w:topLinePunct w:val="0"/>
        <w:autoSpaceDE/>
        <w:autoSpaceDN/>
        <w:bidi w:val="0"/>
        <w:adjustRightInd/>
        <w:spacing w:line="336" w:lineRule="auto"/>
        <w:rPr>
          <w:rFonts w:hint="eastAsia" w:ascii="仿宋" w:hAnsi="仿宋" w:eastAsia="仿宋" w:cs="仿宋"/>
          <w:b/>
          <w:bCs/>
          <w:sz w:val="32"/>
          <w:szCs w:val="32"/>
        </w:rPr>
      </w:pPr>
      <w:r>
        <w:rPr>
          <w:rFonts w:hint="eastAsia" w:ascii="仿宋" w:hAnsi="仿宋" w:eastAsia="仿宋" w:cs="仿宋"/>
          <w:b/>
          <w:bCs/>
          <w:sz w:val="32"/>
          <w:szCs w:val="32"/>
        </w:rPr>
        <w:t>附件4：辅修证书和职业资格证书类学分的认定范围及标准</w:t>
      </w:r>
    </w:p>
    <w:p w14:paraId="75ECBA6A">
      <w:pPr>
        <w:pStyle w:val="2"/>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baseline"/>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辅修证书创新创业学分认定标准</w:t>
      </w:r>
    </w:p>
    <w:p w14:paraId="131F8D3E">
      <w:pPr>
        <w:pStyle w:val="4"/>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1.参加学校开设的辅修专业学习，修满辅修专业培养方案规定的全部课程和学分后，获得学校颁发的辽宁师范大学辅修证书，计2学分。</w:t>
      </w:r>
    </w:p>
    <w:p w14:paraId="769E4029">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2.辅修证书类创新创业学分的认定以辽宁师范大学辅修证书原件或由辽宁师范大学开设辅修专业学院开具结业证明为准。</w:t>
      </w:r>
    </w:p>
    <w:p w14:paraId="09C758A7">
      <w:pPr>
        <w:keepNext w:val="0"/>
        <w:keepLines w:val="0"/>
        <w:numPr>
          <w:ilvl w:val="0"/>
          <w:numId w:val="2"/>
        </w:numPr>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部分国家职业资格证书创新创业学分认定标准</w:t>
      </w:r>
    </w:p>
    <w:p w14:paraId="06172707">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国家职业资格证书创新创业学分认定标准</w:t>
      </w:r>
      <w:r>
        <w:rPr>
          <w:rFonts w:hint="eastAsia" w:ascii="仿宋" w:hAnsi="仿宋" w:eastAsia="仿宋" w:cs="仿宋"/>
          <w:sz w:val="32"/>
          <w:szCs w:val="32"/>
        </w:rPr>
        <w:drawing>
          <wp:anchor distT="0" distB="0" distL="114300" distR="114300" simplePos="0" relativeHeight="251659264" behindDoc="0" locked="0" layoutInCell="1" allowOverlap="1">
            <wp:simplePos x="0" y="0"/>
            <wp:positionH relativeFrom="page">
              <wp:posOffset>950595</wp:posOffset>
            </wp:positionH>
            <wp:positionV relativeFrom="paragraph">
              <wp:posOffset>248920</wp:posOffset>
            </wp:positionV>
            <wp:extent cx="5940425" cy="3836670"/>
            <wp:effectExtent l="0" t="0" r="3175" b="1143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940425" cy="3836670"/>
                    </a:xfrm>
                    <a:prstGeom prst="rect">
                      <a:avLst/>
                    </a:prstGeom>
                    <a:noFill/>
                    <a:ln>
                      <a:noFill/>
                    </a:ln>
                  </pic:spPr>
                </pic:pic>
              </a:graphicData>
            </a:graphic>
          </wp:anchor>
        </w:drawing>
      </w:r>
    </w:p>
    <w:p w14:paraId="347E12BC">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在创新创业学分审定工作中，如果出现未列入本表的国家职业资格证书，由学校创新创业学分审定小组根据证书具体情况，确定是否认定学分及认定标准。</w:t>
      </w:r>
    </w:p>
    <w:p w14:paraId="72F8A7A9">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职业资格证书类创新创业学分的认定以证书原件为准。</w:t>
      </w:r>
    </w:p>
    <w:p w14:paraId="0E379462">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2A60B857">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065DAF0D">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71DFEA24">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5CA2E062">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260B2707">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05D346BB">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7C407D7D">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4CBE7636">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525AD82A">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3CFAA7FE">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29A6E322">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2CF529A2">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56A9849E">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2F548588">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02EC2AEE">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2B3737FF">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18853CF5">
      <w:pPr>
        <w:keepNext w:val="0"/>
        <w:keepLines w:val="0"/>
        <w:kinsoku/>
        <w:overflowPunct/>
        <w:topLinePunct w:val="0"/>
        <w:autoSpaceDE/>
        <w:autoSpaceDN/>
        <w:bidi w:val="0"/>
        <w:adjustRightInd/>
        <w:spacing w:line="336" w:lineRule="auto"/>
        <w:rPr>
          <w:rFonts w:hint="eastAsia" w:ascii="仿宋" w:hAnsi="仿宋" w:eastAsia="仿宋" w:cs="仿宋"/>
          <w:sz w:val="32"/>
          <w:szCs w:val="32"/>
        </w:rPr>
      </w:pPr>
      <w:r>
        <w:rPr>
          <w:rFonts w:hint="eastAsia" w:ascii="仿宋" w:hAnsi="仿宋" w:eastAsia="仿宋" w:cs="仿宋"/>
          <w:b/>
          <w:bCs/>
          <w:sz w:val="32"/>
          <w:szCs w:val="32"/>
        </w:rPr>
        <w:t>附件5：课外实践类学分</w:t>
      </w:r>
      <w:r>
        <w:rPr>
          <w:rFonts w:hint="eastAsia" w:ascii="仿宋" w:hAnsi="仿宋" w:eastAsia="仿宋" w:cs="仿宋"/>
          <w:b/>
          <w:bCs/>
          <w:sz w:val="32"/>
          <w:szCs w:val="32"/>
          <w:lang w:val="en-US" w:eastAsia="zh-CN"/>
        </w:rPr>
        <w:t>的</w:t>
      </w:r>
      <w:r>
        <w:rPr>
          <w:rFonts w:hint="eastAsia" w:ascii="仿宋" w:hAnsi="仿宋" w:eastAsia="仿宋" w:cs="仿宋"/>
          <w:b/>
          <w:bCs/>
          <w:sz w:val="32"/>
          <w:szCs w:val="32"/>
        </w:rPr>
        <w:t>认定范围及标准</w:t>
      </w:r>
    </w:p>
    <w:p w14:paraId="597E03B1">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参加各类社会实践活动（如社会调查、社会实践、科技文化活动等），受到国家级、省部级、市级表彰者，分别计3、2、1学分。</w:t>
      </w:r>
    </w:p>
    <w:p w14:paraId="5FEFDD42">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参加社会实践活动完成高质量的调查报告。公开发表的调研报告按学术论文记载创新创业学分，可计2学分；未公开发表的调研报告经学校创新创业学分审定小组评定，可</w:t>
      </w:r>
      <w:r>
        <w:rPr>
          <w:rFonts w:hint="eastAsia" w:ascii="仿宋" w:hAnsi="仿宋" w:eastAsia="仿宋" w:cs="仿宋"/>
          <w:b w:val="0"/>
          <w:bCs w:val="0"/>
          <w:sz w:val="32"/>
          <w:szCs w:val="32"/>
        </w:rPr>
        <w:t>计1学分</w:t>
      </w:r>
      <w:r>
        <w:rPr>
          <w:rFonts w:hint="eastAsia" w:ascii="仿宋" w:hAnsi="仿宋" w:eastAsia="仿宋" w:cs="仿宋"/>
          <w:b/>
          <w:bCs/>
          <w:sz w:val="32"/>
          <w:szCs w:val="32"/>
        </w:rPr>
        <w:t>。</w:t>
      </w:r>
    </w:p>
    <w:p w14:paraId="6EAF219D">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p>
    <w:p w14:paraId="4A45889D">
      <w:pPr>
        <w:pStyle w:val="4"/>
        <w:keepNext w:val="0"/>
        <w:keepLines w:val="0"/>
        <w:kinsoku/>
        <w:overflowPunct/>
        <w:topLinePunct w:val="0"/>
        <w:autoSpaceDE/>
        <w:autoSpaceDN/>
        <w:bidi w:val="0"/>
        <w:adjustRightInd/>
        <w:spacing w:after="0" w:line="336" w:lineRule="auto"/>
        <w:ind w:firstLine="640" w:firstLineChars="200"/>
        <w:rPr>
          <w:rFonts w:hint="eastAsia" w:ascii="仿宋" w:hAnsi="仿宋" w:eastAsia="仿宋" w:cs="仿宋"/>
          <w:sz w:val="32"/>
          <w:szCs w:val="32"/>
        </w:rPr>
      </w:pPr>
    </w:p>
    <w:p w14:paraId="0E5A6F66">
      <w:pPr>
        <w:pStyle w:val="4"/>
        <w:keepNext w:val="0"/>
        <w:keepLines w:val="0"/>
        <w:kinsoku/>
        <w:overflowPunct/>
        <w:topLinePunct w:val="0"/>
        <w:autoSpaceDE/>
        <w:autoSpaceDN/>
        <w:bidi w:val="0"/>
        <w:adjustRightInd/>
        <w:spacing w:after="0" w:line="336" w:lineRule="auto"/>
        <w:ind w:firstLine="640" w:firstLineChars="200"/>
        <w:rPr>
          <w:rFonts w:hint="eastAsia" w:ascii="仿宋" w:hAnsi="仿宋" w:eastAsia="仿宋" w:cs="仿宋"/>
          <w:sz w:val="32"/>
          <w:szCs w:val="32"/>
        </w:rPr>
      </w:pPr>
    </w:p>
    <w:p w14:paraId="44146084">
      <w:pPr>
        <w:pStyle w:val="4"/>
        <w:keepNext w:val="0"/>
        <w:keepLines w:val="0"/>
        <w:kinsoku/>
        <w:overflowPunct/>
        <w:topLinePunct w:val="0"/>
        <w:autoSpaceDE/>
        <w:autoSpaceDN/>
        <w:bidi w:val="0"/>
        <w:adjustRightInd/>
        <w:spacing w:after="0" w:line="336" w:lineRule="auto"/>
        <w:ind w:firstLine="640" w:firstLineChars="200"/>
        <w:rPr>
          <w:rFonts w:hint="eastAsia" w:ascii="仿宋" w:hAnsi="仿宋" w:eastAsia="仿宋" w:cs="仿宋"/>
          <w:sz w:val="32"/>
          <w:szCs w:val="32"/>
        </w:rPr>
      </w:pPr>
    </w:p>
    <w:p w14:paraId="6B74F99E">
      <w:pPr>
        <w:pStyle w:val="4"/>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343E89DD">
      <w:pPr>
        <w:pStyle w:val="4"/>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3068B872">
      <w:pPr>
        <w:pStyle w:val="4"/>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4CAD3F26">
      <w:pPr>
        <w:pStyle w:val="4"/>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052ABBF6">
      <w:pPr>
        <w:pStyle w:val="4"/>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6179A2C4">
      <w:pPr>
        <w:pStyle w:val="4"/>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611CF4E5">
      <w:pPr>
        <w:pStyle w:val="4"/>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60DA08A5">
      <w:pPr>
        <w:pStyle w:val="4"/>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0B5E0498">
      <w:pPr>
        <w:keepNext w:val="0"/>
        <w:keepLines w:val="0"/>
        <w:kinsoku/>
        <w:overflowPunct/>
        <w:topLinePunct w:val="0"/>
        <w:autoSpaceDE/>
        <w:autoSpaceDN/>
        <w:bidi w:val="0"/>
        <w:adjustRightInd/>
        <w:spacing w:line="336" w:lineRule="auto"/>
        <w:rPr>
          <w:rFonts w:hint="eastAsia" w:ascii="仿宋" w:hAnsi="仿宋" w:eastAsia="仿宋" w:cs="仿宋"/>
          <w:b/>
          <w:bCs/>
          <w:sz w:val="32"/>
          <w:szCs w:val="32"/>
        </w:rPr>
      </w:pPr>
      <w:r>
        <w:rPr>
          <w:rFonts w:hint="eastAsia" w:ascii="仿宋" w:hAnsi="仿宋" w:eastAsia="仿宋" w:cs="仿宋"/>
          <w:b/>
          <w:bCs/>
          <w:sz w:val="32"/>
          <w:szCs w:val="32"/>
        </w:rPr>
        <w:t>附件6：创业类学分</w:t>
      </w:r>
      <w:r>
        <w:rPr>
          <w:rFonts w:hint="eastAsia" w:ascii="仿宋" w:hAnsi="仿宋" w:eastAsia="仿宋" w:cs="仿宋"/>
          <w:b/>
          <w:bCs/>
          <w:sz w:val="32"/>
          <w:szCs w:val="32"/>
          <w:lang w:val="en-US" w:eastAsia="zh-CN"/>
        </w:rPr>
        <w:t>的</w:t>
      </w:r>
      <w:r>
        <w:rPr>
          <w:rFonts w:hint="eastAsia" w:ascii="仿宋" w:hAnsi="仿宋" w:eastAsia="仿宋" w:cs="仿宋"/>
          <w:b/>
          <w:bCs/>
          <w:sz w:val="32"/>
          <w:szCs w:val="32"/>
        </w:rPr>
        <w:t>认定范围及标准</w:t>
      </w:r>
    </w:p>
    <w:p w14:paraId="1F9C4F00">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大学生创业训练计划项目。主持并完成国家级大学生创业训练计划项目负责人计</w:t>
      </w:r>
      <w:r>
        <w:rPr>
          <w:rFonts w:hint="eastAsia" w:cs="仿宋"/>
          <w:sz w:val="32"/>
          <w:szCs w:val="32"/>
          <w:lang w:val="en-US" w:eastAsia="zh-CN"/>
        </w:rPr>
        <w:t>4</w:t>
      </w:r>
      <w:r>
        <w:rPr>
          <w:rFonts w:hint="eastAsia" w:ascii="仿宋" w:hAnsi="仿宋" w:eastAsia="仿宋" w:cs="仿宋"/>
          <w:sz w:val="32"/>
          <w:szCs w:val="32"/>
        </w:rPr>
        <w:t>学分，参与人2学分；省级大学生创新创业训练计划项目负责人计</w:t>
      </w:r>
      <w:r>
        <w:rPr>
          <w:rFonts w:hint="eastAsia" w:cs="仿宋"/>
          <w:sz w:val="32"/>
          <w:szCs w:val="32"/>
          <w:lang w:val="en-US" w:eastAsia="zh-CN"/>
        </w:rPr>
        <w:t>3</w:t>
      </w:r>
      <w:r>
        <w:rPr>
          <w:rFonts w:hint="eastAsia" w:ascii="仿宋" w:hAnsi="仿宋" w:eastAsia="仿宋" w:cs="仿宋"/>
          <w:sz w:val="32"/>
          <w:szCs w:val="32"/>
        </w:rPr>
        <w:t>学分，参与人</w:t>
      </w:r>
      <w:r>
        <w:rPr>
          <w:rFonts w:hint="eastAsia" w:cs="仿宋"/>
          <w:sz w:val="32"/>
          <w:szCs w:val="32"/>
          <w:lang w:val="en-US" w:eastAsia="zh-CN"/>
        </w:rPr>
        <w:t>1</w:t>
      </w:r>
      <w:r>
        <w:rPr>
          <w:rFonts w:hint="eastAsia" w:ascii="仿宋" w:hAnsi="仿宋" w:eastAsia="仿宋" w:cs="仿宋"/>
          <w:sz w:val="32"/>
          <w:szCs w:val="32"/>
        </w:rPr>
        <w:t>学分；校级大学生创新创业训练计划项目负责人计</w:t>
      </w:r>
      <w:r>
        <w:rPr>
          <w:rFonts w:hint="eastAsia" w:cs="仿宋"/>
          <w:sz w:val="32"/>
          <w:szCs w:val="32"/>
          <w:lang w:val="en-US" w:eastAsia="zh-CN"/>
        </w:rPr>
        <w:t>2</w:t>
      </w:r>
      <w:r>
        <w:rPr>
          <w:rFonts w:hint="eastAsia" w:ascii="仿宋" w:hAnsi="仿宋" w:eastAsia="仿宋" w:cs="仿宋"/>
          <w:sz w:val="32"/>
          <w:szCs w:val="32"/>
        </w:rPr>
        <w:t>学分，项目组其他成员</w:t>
      </w:r>
      <w:r>
        <w:rPr>
          <w:rFonts w:hint="eastAsia" w:cs="仿宋"/>
          <w:sz w:val="32"/>
          <w:szCs w:val="32"/>
          <w:lang w:val="en-US" w:eastAsia="zh-CN"/>
        </w:rPr>
        <w:t>0.5</w:t>
      </w:r>
      <w:r>
        <w:rPr>
          <w:rFonts w:hint="eastAsia" w:ascii="仿宋" w:hAnsi="仿宋" w:eastAsia="仿宋" w:cs="仿宋"/>
          <w:sz w:val="32"/>
          <w:szCs w:val="32"/>
        </w:rPr>
        <w:t>学分。</w:t>
      </w:r>
    </w:p>
    <w:p w14:paraId="7448244F">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创业训练。学生通过选修学校开设的创业课程或参加学校组织创业培训与学习，并获得修读或结业证明，按课程类别（理论课或实践课）标准进行学分认定。</w:t>
      </w:r>
    </w:p>
    <w:p w14:paraId="40CB9560">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创业实践活动。</w:t>
      </w:r>
    </w:p>
    <w:p w14:paraId="7801AEB0">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入驻辽宁师范大学创业孵化基地，签订《辽宁师范大学大学生创业孵化基地入驻协议书》1年以上，团队负责人（1-2人）计2学分，其他核心成员（3人以内）计1学分。</w:t>
      </w:r>
    </w:p>
    <w:p w14:paraId="2940FAAE">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学生自主创业注册实体公司且注册地及工作场所在学校、区、市等各级的创业孵化基地内，法人代表计4学分，其他核心成员（3人以内）计2学分。公司年营业额在10万元以上（以财务账目为准），法人代表计5学分，其他核心成员（3人以内）计2.5学分。企业从事研究、开发、生产的项目或产品及其核心技术符合《国家重点支持的高新技术领域》（国科发火〔2016〕32号文）规定的范围，或产品属于《中国高新技术产品目录（2006年）》，法人代表计6分，其他核心成员（3人以内）计3分。学分认定需提交《辽宁师范大学大学生创业孵化基地入驻协议书》、个体工商户营业执照、财务台账、企业年营业收入证明、企业纳税证明。</w:t>
      </w:r>
    </w:p>
    <w:p w14:paraId="33B245B2">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学生自主创业注册实体公司且注册地及工作场所不在学校、区、市等各级的创业孵化基地内，学分认定需提交个体工商户营业执照、财务台账、企业年营业收入证明、企业纳税证明。学分认定标准参照（2）执行。</w:t>
      </w:r>
    </w:p>
    <w:p w14:paraId="4076B570">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参加学校创业实训项目，完成规定课时并获得结业证书，计1学分。</w:t>
      </w:r>
    </w:p>
    <w:p w14:paraId="3861CEC7">
      <w:pPr>
        <w:keepNext w:val="0"/>
        <w:keepLines w:val="0"/>
        <w:kinsoku/>
        <w:overflowPunct/>
        <w:topLinePunct w:val="0"/>
        <w:autoSpaceDE/>
        <w:autoSpaceDN/>
        <w:bidi w:val="0"/>
        <w:adjustRightInd/>
        <w:spacing w:line="336"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其他创业活动。开展其他创业实践活动并取得成果，由学校创新创业学分审定小组根据提供的具体成果，确定是否予以认定及认定学分的标准。</w:t>
      </w:r>
    </w:p>
    <w:p w14:paraId="3F1AAD80">
      <w:pPr>
        <w:pStyle w:val="4"/>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2D7E46BD">
      <w:pPr>
        <w:pStyle w:val="4"/>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144E282B">
      <w:pPr>
        <w:pStyle w:val="4"/>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p w14:paraId="72B9A04C"/>
    <w:p w14:paraId="31391163">
      <w:pPr>
        <w:pStyle w:val="2"/>
        <w:rPr>
          <w:rFonts w:cs="仿宋"/>
          <w:sz w:val="28"/>
          <w:szCs w:val="28"/>
        </w:rPr>
      </w:pPr>
    </w:p>
    <w:p w14:paraId="2E128D4D">
      <w:pPr>
        <w:pStyle w:val="2"/>
        <w:rPr>
          <w:rFonts w:cs="仿宋"/>
          <w:sz w:val="28"/>
          <w:szCs w:val="28"/>
        </w:rPr>
      </w:pPr>
    </w:p>
    <w:p w14:paraId="4ABEA469">
      <w:pPr>
        <w:keepNext w:val="0"/>
        <w:keepLines w:val="0"/>
        <w:kinsoku/>
        <w:overflowPunct/>
        <w:topLinePunct w:val="0"/>
        <w:autoSpaceDE/>
        <w:autoSpaceDN/>
        <w:bidi w:val="0"/>
        <w:adjustRightInd/>
        <w:spacing w:line="336" w:lineRule="auto"/>
        <w:ind w:firstLine="548" w:firstLineChars="196"/>
        <w:jc w:val="left"/>
        <w:rPr>
          <w:rFonts w:cs="仿宋"/>
          <w:sz w:val="28"/>
          <w:szCs w:val="28"/>
        </w:rPr>
      </w:pPr>
    </w:p>
    <w:p w14:paraId="10976F7F">
      <w:pPr>
        <w:pStyle w:val="4"/>
        <w:keepNext w:val="0"/>
        <w:keepLines w:val="0"/>
        <w:kinsoku/>
        <w:overflowPunct/>
        <w:topLinePunct w:val="0"/>
        <w:autoSpaceDE/>
        <w:autoSpaceDN/>
        <w:bidi w:val="0"/>
        <w:adjustRightInd/>
        <w:spacing w:line="336" w:lineRule="auto"/>
        <w:rPr>
          <w:rFonts w:hint="eastAsia" w:ascii="仿宋" w:hAnsi="仿宋" w:eastAsia="仿宋" w:cs="仿宋"/>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D356A">
    <w:pPr>
      <w:pStyle w:val="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330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330200"/>
                      </a:xfrm>
                      <a:prstGeom prst="rect">
                        <a:avLst/>
                      </a:prstGeom>
                      <a:noFill/>
                      <a:ln w="6350">
                        <a:noFill/>
                      </a:ln>
                    </wps:spPr>
                    <wps:txbx>
                      <w:txbxContent>
                        <w:p w14:paraId="643D52E6">
                          <w:pPr>
                            <w:pStyle w:val="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6pt;width:4.55pt;mso-position-horizontal:center;mso-position-horizontal-relative:margin;mso-wrap-style:none;z-index:251660288;mso-width-relative:page;mso-height-relative:page;" filled="f" stroked="f" coordsize="21600,21600" o:gfxdata="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McXsdEAAAACAQAADwAAAAAAAAABACAAAAAiAAAAZHJzL2Rvd25yZXYueG1sUEsBAhQAFAAA&#10;AAgAh07iQLsSFR8vAgAAUgQAAA4AAAAAAAAAAQAgAAAAIAEAAGRycy9lMm9Eb2MueG1sUEsFBgAA&#10;AAAGAAYAWQEAAMEFAAAAAA==&#10;">
              <v:fill on="f" focussize="0,0"/>
              <v:stroke on="f" weight="0.5pt"/>
              <v:imagedata o:title=""/>
              <o:lock v:ext="edit" aspectratio="f"/>
              <v:textbox inset="0mm,0mm,0mm,0mm" style="mso-fit-shape-to-text:t;">
                <w:txbxContent>
                  <w:p w14:paraId="643D52E6">
                    <w:pPr>
                      <w:pStyle w:val="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p w14:paraId="21ECC762">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7FFDE"/>
    <w:multiLevelType w:val="singleLevel"/>
    <w:tmpl w:val="ACB7FFDE"/>
    <w:lvl w:ilvl="0" w:tentative="0">
      <w:start w:val="1"/>
      <w:numFmt w:val="chineseCounting"/>
      <w:suff w:val="nothing"/>
      <w:lvlText w:val="（%1）"/>
      <w:lvlJc w:val="left"/>
      <w:rPr>
        <w:rFonts w:hint="eastAsia"/>
      </w:rPr>
    </w:lvl>
  </w:abstractNum>
  <w:abstractNum w:abstractNumId="1">
    <w:nsid w:val="2FD48164"/>
    <w:multiLevelType w:val="singleLevel"/>
    <w:tmpl w:val="2FD4816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kNTNiYTQyZDQzOTllNTEyNzQ1YTY0ZWExOTcxYzgifQ=="/>
  </w:docVars>
  <w:rsids>
    <w:rsidRoot w:val="00261229"/>
    <w:rsid w:val="000436CB"/>
    <w:rsid w:val="000E2EED"/>
    <w:rsid w:val="001B2C56"/>
    <w:rsid w:val="001E2849"/>
    <w:rsid w:val="001F0AAE"/>
    <w:rsid w:val="00261229"/>
    <w:rsid w:val="00302316"/>
    <w:rsid w:val="00321959"/>
    <w:rsid w:val="003B0C9D"/>
    <w:rsid w:val="00426382"/>
    <w:rsid w:val="004D5E06"/>
    <w:rsid w:val="004F7D53"/>
    <w:rsid w:val="00624F11"/>
    <w:rsid w:val="00735070"/>
    <w:rsid w:val="00741F10"/>
    <w:rsid w:val="007471A8"/>
    <w:rsid w:val="008334D4"/>
    <w:rsid w:val="00865FF4"/>
    <w:rsid w:val="00A12981"/>
    <w:rsid w:val="00AE661A"/>
    <w:rsid w:val="00B347C8"/>
    <w:rsid w:val="00B53BE9"/>
    <w:rsid w:val="00BE33BD"/>
    <w:rsid w:val="00C546C2"/>
    <w:rsid w:val="00CF44B0"/>
    <w:rsid w:val="00D63A39"/>
    <w:rsid w:val="00E82D2C"/>
    <w:rsid w:val="00EB6973"/>
    <w:rsid w:val="00FE1061"/>
    <w:rsid w:val="01F81846"/>
    <w:rsid w:val="02261EED"/>
    <w:rsid w:val="03101DE8"/>
    <w:rsid w:val="03310C22"/>
    <w:rsid w:val="05597A8E"/>
    <w:rsid w:val="099817AA"/>
    <w:rsid w:val="0ACD5AFA"/>
    <w:rsid w:val="0B30303F"/>
    <w:rsid w:val="0B9C6287"/>
    <w:rsid w:val="0F765FB0"/>
    <w:rsid w:val="103863F4"/>
    <w:rsid w:val="16704C38"/>
    <w:rsid w:val="18E527FD"/>
    <w:rsid w:val="19180D51"/>
    <w:rsid w:val="19A4126E"/>
    <w:rsid w:val="1A595534"/>
    <w:rsid w:val="1AF017FA"/>
    <w:rsid w:val="1BA51130"/>
    <w:rsid w:val="219937F9"/>
    <w:rsid w:val="24B17582"/>
    <w:rsid w:val="255B41CD"/>
    <w:rsid w:val="28472284"/>
    <w:rsid w:val="2A5E395A"/>
    <w:rsid w:val="2E815758"/>
    <w:rsid w:val="2F522634"/>
    <w:rsid w:val="302214A5"/>
    <w:rsid w:val="3664562D"/>
    <w:rsid w:val="377521B5"/>
    <w:rsid w:val="37FF6393"/>
    <w:rsid w:val="386C0A3D"/>
    <w:rsid w:val="397F4A8F"/>
    <w:rsid w:val="3AD26B59"/>
    <w:rsid w:val="3B1D49D9"/>
    <w:rsid w:val="3FE627A0"/>
    <w:rsid w:val="405F5979"/>
    <w:rsid w:val="424C70FD"/>
    <w:rsid w:val="43A15E3F"/>
    <w:rsid w:val="440C749E"/>
    <w:rsid w:val="477248B3"/>
    <w:rsid w:val="48E06D89"/>
    <w:rsid w:val="497052F5"/>
    <w:rsid w:val="4C305AB0"/>
    <w:rsid w:val="4DCF6455"/>
    <w:rsid w:val="5199172B"/>
    <w:rsid w:val="51CB2747"/>
    <w:rsid w:val="51F23E47"/>
    <w:rsid w:val="52F26D6A"/>
    <w:rsid w:val="537A44F5"/>
    <w:rsid w:val="53816871"/>
    <w:rsid w:val="53C8369C"/>
    <w:rsid w:val="55063EE7"/>
    <w:rsid w:val="55D67C79"/>
    <w:rsid w:val="5A4A71D8"/>
    <w:rsid w:val="5E7128C8"/>
    <w:rsid w:val="60292318"/>
    <w:rsid w:val="612B3D63"/>
    <w:rsid w:val="61F90459"/>
    <w:rsid w:val="666B5E4F"/>
    <w:rsid w:val="6790282B"/>
    <w:rsid w:val="6C103720"/>
    <w:rsid w:val="6EE905B5"/>
    <w:rsid w:val="6EF410D7"/>
    <w:rsid w:val="70414932"/>
    <w:rsid w:val="70C00C04"/>
    <w:rsid w:val="737940A3"/>
    <w:rsid w:val="73C306A5"/>
    <w:rsid w:val="75505D63"/>
    <w:rsid w:val="75CB372C"/>
    <w:rsid w:val="75E17FAF"/>
    <w:rsid w:val="79820999"/>
    <w:rsid w:val="7A563351"/>
    <w:rsid w:val="7F29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仿宋" w:hAnsi="仿宋" w:eastAsia="仿宋" w:cstheme="minorBidi"/>
      <w:kern w:val="2"/>
      <w:sz w:val="32"/>
      <w:szCs w:val="22"/>
      <w:lang w:val="en-US" w:eastAsia="zh-CN" w:bidi="ar-SA"/>
    </w:rPr>
  </w:style>
  <w:style w:type="paragraph" w:styleId="3">
    <w:name w:val="heading 1"/>
    <w:basedOn w:val="1"/>
    <w:next w:val="1"/>
    <w:link w:val="8"/>
    <w:qFormat/>
    <w:uiPriority w:val="0"/>
    <w:pPr>
      <w:spacing w:before="340" w:after="330" w:line="460" w:lineRule="exact"/>
      <w:jc w:val="center"/>
      <w:outlineLvl w:val="0"/>
    </w:pPr>
    <w:rPr>
      <w:rFonts w:eastAsia="宋体" w:asciiTheme="minorHAnsi" w:hAnsiTheme="minorHAnsi"/>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FootnoteText"/>
    <w:basedOn w:val="1"/>
    <w:qFormat/>
    <w:uiPriority w:val="0"/>
    <w:pPr>
      <w:snapToGrid w:val="0"/>
      <w:jc w:val="left"/>
      <w:textAlignment w:val="baseline"/>
    </w:pPr>
  </w:style>
  <w:style w:type="paragraph" w:styleId="4">
    <w:name w:val="Body Text"/>
    <w:basedOn w:val="1"/>
    <w:link w:val="10"/>
    <w:semiHidden/>
    <w:unhideWhenUsed/>
    <w:qFormat/>
    <w:uiPriority w:val="99"/>
    <w:pPr>
      <w:spacing w:after="120"/>
    </w:pPr>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character" w:customStyle="1" w:styleId="8">
    <w:name w:val="标题 1 字符"/>
    <w:basedOn w:val="7"/>
    <w:link w:val="3"/>
    <w:qFormat/>
    <w:uiPriority w:val="0"/>
    <w:rPr>
      <w:rFonts w:eastAsia="宋体"/>
      <w:b/>
      <w:kern w:val="44"/>
      <w:sz w:val="44"/>
    </w:rPr>
  </w:style>
  <w:style w:type="character" w:customStyle="1" w:styleId="9">
    <w:name w:val="页脚 字符"/>
    <w:basedOn w:val="7"/>
    <w:link w:val="5"/>
    <w:qFormat/>
    <w:uiPriority w:val="99"/>
    <w:rPr>
      <w:rFonts w:ascii="仿宋" w:hAnsi="仿宋" w:eastAsia="仿宋"/>
      <w:sz w:val="18"/>
      <w:szCs w:val="18"/>
    </w:rPr>
  </w:style>
  <w:style w:type="character" w:customStyle="1" w:styleId="10">
    <w:name w:val="正文文本 字符"/>
    <w:basedOn w:val="7"/>
    <w:link w:val="4"/>
    <w:semiHidden/>
    <w:qFormat/>
    <w:uiPriority w:val="99"/>
    <w:rPr>
      <w:rFonts w:ascii="仿宋" w:hAnsi="仿宋" w:eastAsia="仿宋"/>
      <w:sz w:val="32"/>
    </w:rPr>
  </w:style>
  <w:style w:type="character" w:customStyle="1" w:styleId="11">
    <w:name w:val="font31"/>
    <w:basedOn w:val="7"/>
    <w:qFormat/>
    <w:uiPriority w:val="0"/>
    <w:rPr>
      <w:rFonts w:hint="eastAsia" w:ascii="宋体" w:hAnsi="宋体" w:eastAsia="宋体" w:cs="宋体"/>
      <w:b/>
      <w:bCs/>
      <w:color w:val="000000"/>
      <w:sz w:val="28"/>
      <w:szCs w:val="28"/>
      <w:u w:val="none"/>
      <w:vertAlign w:val="subscript"/>
    </w:rPr>
  </w:style>
  <w:style w:type="character" w:customStyle="1" w:styleId="12">
    <w:name w:val="font41"/>
    <w:basedOn w:val="7"/>
    <w:qFormat/>
    <w:uiPriority w:val="0"/>
    <w:rPr>
      <w:rFonts w:hint="eastAsia" w:ascii="宋体" w:hAnsi="宋体" w:eastAsia="宋体" w:cs="宋体"/>
      <w:b/>
      <w:bCs/>
      <w:color w:val="000000"/>
      <w:sz w:val="28"/>
      <w:szCs w:val="28"/>
      <w:u w:val="none"/>
      <w:vertAlign w:val="superscript"/>
    </w:rPr>
  </w:style>
  <w:style w:type="character" w:customStyle="1" w:styleId="13">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4103</Words>
  <Characters>4215</Characters>
  <Lines>32</Lines>
  <Paragraphs>9</Paragraphs>
  <TotalTime>6</TotalTime>
  <ScaleCrop>false</ScaleCrop>
  <LinksUpToDate>false</LinksUpToDate>
  <CharactersWithSpaces>4236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2021-08-27T09:20:00Z</dcterms:created>
  <dc:creator>LV</dc:creator>
  <cp:lastModifiedBy>even</cp:lastModifiedBy>
  <cp:lastPrinted>2021-12-20T02:03:00Z</cp:lastPrinted>
  <dcterms:modified xsi:type="dcterms:W3CDTF">2024-11-14T07:32:59Z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7C20E5C9DE4E46E8BF53DB6AC2DE30EF</vt:lpwstr>
  </property>
</Properties>
</file>